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89DBF">
      <w:pPr>
        <w:jc w:val="center"/>
        <w:rPr>
          <w:rFonts w:ascii="方正小标宋简体" w:eastAsia="方正小标宋简体" w:cs="仿宋_GB2312"/>
          <w:bCs/>
          <w:color w:val="000000" w:themeColor="text1"/>
          <w:sz w:val="44"/>
          <w:szCs w:val="44"/>
          <w14:textFill>
            <w14:solidFill>
              <w14:schemeClr w14:val="tx1"/>
            </w14:solidFill>
          </w14:textFill>
        </w:rPr>
      </w:pPr>
      <w:r>
        <w:rPr>
          <w:rFonts w:hint="eastAsia" w:ascii="方正小标宋简体" w:eastAsia="方正小标宋简体" w:cs="仿宋_GB2312"/>
          <w:bCs/>
          <w:color w:val="000000" w:themeColor="text1"/>
          <w:sz w:val="44"/>
          <w:szCs w:val="44"/>
          <w14:textFill>
            <w14:solidFill>
              <w14:schemeClr w14:val="tx1"/>
            </w14:solidFill>
          </w14:textFill>
        </w:rPr>
        <w:t>团体标准《肺炎支原体抗体检测  吖啶酯化学发光法》（征求意见稿）编制说明</w:t>
      </w:r>
    </w:p>
    <w:p w14:paraId="63789089">
      <w:pPr>
        <w:ind w:firstLine="378"/>
        <w:jc w:val="center"/>
        <w:rPr>
          <w:rFonts w:ascii="方正小标宋简体" w:eastAsia="方正小标宋简体" w:cs="仿宋_GB2312"/>
          <w:bCs/>
          <w:color w:val="000000" w:themeColor="text1"/>
          <w:sz w:val="18"/>
          <w:szCs w:val="18"/>
          <w14:textFill>
            <w14:solidFill>
              <w14:schemeClr w14:val="tx1"/>
            </w14:solidFill>
          </w14:textFill>
        </w:rPr>
      </w:pPr>
    </w:p>
    <w:p w14:paraId="234DC40B">
      <w:pPr>
        <w:pStyle w:val="15"/>
        <w:ind w:firstLine="640" w:firstLineChars="200"/>
        <w:jc w:val="left"/>
        <w:rPr>
          <w:rFonts w:hint="eastAsia"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一、任务来源、起草单位、</w:t>
      </w:r>
      <w:r>
        <w:rPr>
          <w:rFonts w:ascii="黑体" w:hAnsi="黑体" w:eastAsia="黑体"/>
          <w:b w:val="0"/>
          <w:color w:val="000000" w:themeColor="text1"/>
          <w14:textFill>
            <w14:solidFill>
              <w14:schemeClr w14:val="tx1"/>
            </w14:solidFill>
          </w14:textFill>
        </w:rPr>
        <w:t>主要起草人</w:t>
      </w:r>
    </w:p>
    <w:p w14:paraId="79669F87">
      <w:pPr>
        <w:spacing w:after="120" w:afterLines="50"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根据《广西标准化协会关于下达2025年第十三批团体标准制修订项目计划的通知》（桂标协〔2025〕106号）文件精神，由广西预防医学会提出，南宁市第四人民医院、东莞市人民医院、玉林市第一人民医院、玉林市第二人民医院、广西中医药大学第一附属医院、广西国际壮医医院、柳州市柳铁中心医院、来宾市人民医院、崇左市人民医院、河池市人民医院、柳州市中医医院（柳州市壮医医院）、柳州市妇幼保健院、钦州市第二人民医院、岑溪市人民医院、博白县人民医院、桂林市妇幼保健院、来宾市中医医院、靖西市人民医院等单位共同起草的团体标准《肺炎支原体抗体检测  吖啶酯化学发光法》（项目编号2025-1304）已获批立项。</w:t>
      </w:r>
    </w:p>
    <w:p w14:paraId="7102ED75">
      <w:pPr>
        <w:spacing w:after="120" w:afterLines="50"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为高质量编制团体标准《肺炎支原体抗体检测  吖啶酯化学发光法》，由起草单位成立标准编制工作组并进行如下分工：</w:t>
      </w:r>
    </w:p>
    <w:tbl>
      <w:tblPr>
        <w:tblStyle w:val="17"/>
        <w:tblW w:w="9024" w:type="dxa"/>
        <w:tblInd w:w="99" w:type="dxa"/>
        <w:tblLayout w:type="fixed"/>
        <w:tblCellMar>
          <w:top w:w="0" w:type="dxa"/>
          <w:left w:w="108" w:type="dxa"/>
          <w:bottom w:w="0" w:type="dxa"/>
          <w:right w:w="108" w:type="dxa"/>
        </w:tblCellMar>
      </w:tblPr>
      <w:tblGrid>
        <w:gridCol w:w="924"/>
        <w:gridCol w:w="1321"/>
        <w:gridCol w:w="1235"/>
        <w:gridCol w:w="2250"/>
        <w:gridCol w:w="3294"/>
      </w:tblGrid>
      <w:tr w14:paraId="0B4DE3F3">
        <w:tblPrEx>
          <w:tblCellMar>
            <w:top w:w="0" w:type="dxa"/>
            <w:left w:w="108" w:type="dxa"/>
            <w:bottom w:w="0" w:type="dxa"/>
            <w:right w:w="108" w:type="dxa"/>
          </w:tblCellMar>
        </w:tblPrEx>
        <w:trPr>
          <w:trHeight w:val="720" w:hRule="atLeast"/>
        </w:trPr>
        <w:tc>
          <w:tcPr>
            <w:tcW w:w="924" w:type="dxa"/>
            <w:tcBorders>
              <w:top w:val="single" w:color="auto" w:sz="4" w:space="0"/>
              <w:left w:val="single" w:color="auto" w:sz="4" w:space="0"/>
              <w:bottom w:val="single" w:color="auto" w:sz="4" w:space="0"/>
              <w:right w:val="single" w:color="auto" w:sz="4" w:space="0"/>
            </w:tcBorders>
            <w:vAlign w:val="center"/>
          </w:tcPr>
          <w:p w14:paraId="185CA59B">
            <w:pPr>
              <w:jc w:val="center"/>
              <w:rPr>
                <w:rFonts w:hint="eastAsia" w:ascii="仿宋_GB2312" w:hAnsi="宋体" w:eastAsia="仿宋_GB2312" w:cs="仿宋_GB2312"/>
                <w:b/>
                <w:bCs/>
                <w:color w:val="000000"/>
                <w:sz w:val="24"/>
              </w:rPr>
            </w:pPr>
            <w:r>
              <w:rPr>
                <w:rFonts w:hint="eastAsia" w:ascii="仿宋_GB2312" w:hAnsi="仿宋_GB2312" w:eastAsia="仿宋_GB2312" w:cs="仿宋_GB2312"/>
                <w:b/>
                <w:color w:val="000000"/>
                <w:sz w:val="24"/>
              </w:rPr>
              <w:t>姓名</w:t>
            </w:r>
          </w:p>
        </w:tc>
        <w:tc>
          <w:tcPr>
            <w:tcW w:w="1321" w:type="dxa"/>
            <w:tcBorders>
              <w:top w:val="single" w:color="000000" w:sz="8" w:space="0"/>
              <w:left w:val="single" w:color="auto" w:sz="4" w:space="0"/>
              <w:bottom w:val="nil"/>
              <w:right w:val="single" w:color="000000" w:sz="8" w:space="0"/>
            </w:tcBorders>
            <w:vAlign w:val="center"/>
          </w:tcPr>
          <w:p w14:paraId="3549E7C7">
            <w:pPr>
              <w:jc w:val="center"/>
              <w:rPr>
                <w:rFonts w:hint="eastAsia" w:ascii="仿宋_GB2312" w:hAnsi="宋体" w:eastAsia="仿宋_GB2312" w:cs="仿宋_GB2312"/>
                <w:b/>
                <w:bCs/>
                <w:color w:val="000000"/>
                <w:sz w:val="24"/>
              </w:rPr>
            </w:pPr>
            <w:r>
              <w:rPr>
                <w:rFonts w:hint="eastAsia" w:ascii="仿宋_GB2312" w:hAnsi="仿宋_GB2312" w:eastAsia="仿宋_GB2312" w:cs="仿宋_GB2312"/>
                <w:b/>
                <w:color w:val="000000"/>
                <w:sz w:val="24"/>
              </w:rPr>
              <w:t>职务/职称</w:t>
            </w:r>
          </w:p>
        </w:tc>
        <w:tc>
          <w:tcPr>
            <w:tcW w:w="1235" w:type="dxa"/>
            <w:tcBorders>
              <w:top w:val="single" w:color="000000" w:sz="8" w:space="0"/>
              <w:left w:val="single" w:color="000000" w:sz="8" w:space="0"/>
              <w:bottom w:val="nil"/>
              <w:right w:val="single" w:color="000000" w:sz="8" w:space="0"/>
            </w:tcBorders>
            <w:vAlign w:val="center"/>
          </w:tcPr>
          <w:p w14:paraId="6F4D872B">
            <w:pPr>
              <w:jc w:val="center"/>
              <w:rPr>
                <w:rFonts w:hint="eastAsia" w:ascii="仿宋_GB2312" w:hAnsi="宋体" w:eastAsia="仿宋_GB2312" w:cs="仿宋_GB2312"/>
                <w:b/>
                <w:bCs/>
                <w:color w:val="000000"/>
                <w:sz w:val="24"/>
              </w:rPr>
            </w:pPr>
            <w:r>
              <w:rPr>
                <w:rFonts w:hint="eastAsia" w:ascii="仿宋_GB2312" w:hAnsi="仿宋_GB2312" w:eastAsia="仿宋_GB2312" w:cs="仿宋_GB2312"/>
                <w:b/>
                <w:color w:val="000000"/>
                <w:sz w:val="24"/>
              </w:rPr>
              <w:t>从事专业</w:t>
            </w:r>
          </w:p>
        </w:tc>
        <w:tc>
          <w:tcPr>
            <w:tcW w:w="2250" w:type="dxa"/>
            <w:tcBorders>
              <w:top w:val="single" w:color="000000" w:sz="8" w:space="0"/>
              <w:left w:val="single" w:color="000000" w:sz="8" w:space="0"/>
              <w:bottom w:val="nil"/>
              <w:right w:val="nil"/>
            </w:tcBorders>
            <w:noWrap/>
            <w:vAlign w:val="center"/>
          </w:tcPr>
          <w:p w14:paraId="0C478093">
            <w:pPr>
              <w:jc w:val="center"/>
              <w:rPr>
                <w:rFonts w:hint="eastAsia" w:ascii="仿宋_GB2312" w:hAnsi="宋体" w:eastAsia="仿宋_GB2312" w:cs="仿宋_GB2312"/>
                <w:b/>
                <w:bCs/>
                <w:color w:val="000000"/>
                <w:sz w:val="24"/>
              </w:rPr>
            </w:pPr>
            <w:r>
              <w:rPr>
                <w:rFonts w:hint="eastAsia" w:ascii="仿宋_GB2312" w:hAnsi="仿宋_GB2312" w:eastAsia="仿宋_GB2312" w:cs="仿宋_GB2312"/>
                <w:b/>
                <w:color w:val="000000"/>
                <w:sz w:val="24"/>
              </w:rPr>
              <w:t>工作单位</w:t>
            </w:r>
          </w:p>
        </w:tc>
        <w:tc>
          <w:tcPr>
            <w:tcW w:w="3294" w:type="dxa"/>
            <w:tcBorders>
              <w:top w:val="single" w:color="000000" w:sz="4" w:space="0"/>
              <w:left w:val="single" w:color="000000" w:sz="4" w:space="0"/>
              <w:bottom w:val="single" w:color="000000" w:sz="4" w:space="0"/>
              <w:right w:val="single" w:color="000000" w:sz="4" w:space="0"/>
            </w:tcBorders>
            <w:vAlign w:val="center"/>
          </w:tcPr>
          <w:p w14:paraId="2E1C35EF">
            <w:pPr>
              <w:jc w:val="center"/>
              <w:rPr>
                <w:rFonts w:hint="eastAsia" w:ascii="黑体" w:hAnsi="宋体" w:eastAsia="黑体" w:cs="黑体"/>
                <w:color w:val="000000"/>
                <w:sz w:val="32"/>
                <w:szCs w:val="32"/>
              </w:rPr>
            </w:pPr>
            <w:r>
              <w:rPr>
                <w:rFonts w:hint="eastAsia" w:ascii="仿宋_GB2312" w:hAnsi="仿宋_GB2312" w:eastAsia="仿宋_GB2312" w:cs="仿宋_GB2312"/>
                <w:b/>
                <w:color w:val="000000"/>
                <w:sz w:val="24"/>
              </w:rPr>
              <w:t>责任分工</w:t>
            </w:r>
          </w:p>
        </w:tc>
      </w:tr>
      <w:tr w14:paraId="77E1DBEF">
        <w:tblPrEx>
          <w:tblCellMar>
            <w:top w:w="0" w:type="dxa"/>
            <w:left w:w="108" w:type="dxa"/>
            <w:bottom w:w="0" w:type="dxa"/>
            <w:right w:w="108" w:type="dxa"/>
          </w:tblCellMar>
        </w:tblPrEx>
        <w:trPr>
          <w:trHeight w:val="695" w:hRule="atLeast"/>
        </w:trPr>
        <w:tc>
          <w:tcPr>
            <w:tcW w:w="924" w:type="dxa"/>
            <w:tcBorders>
              <w:top w:val="single" w:color="auto" w:sz="4" w:space="0"/>
              <w:left w:val="single" w:color="000000" w:sz="4" w:space="0"/>
              <w:bottom w:val="single" w:color="000000" w:sz="4" w:space="0"/>
              <w:right w:val="single" w:color="000000" w:sz="4" w:space="0"/>
            </w:tcBorders>
            <w:noWrap/>
            <w:vAlign w:val="center"/>
          </w:tcPr>
          <w:p w14:paraId="462E97C0">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罗晓璐</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4807C9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039610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444C737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noWrap/>
            <w:vAlign w:val="center"/>
          </w:tcPr>
          <w:p w14:paraId="43F70E0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统筹主持标准编制工作</w:t>
            </w:r>
          </w:p>
        </w:tc>
      </w:tr>
      <w:tr w14:paraId="0D66224F">
        <w:tblPrEx>
          <w:tblCellMar>
            <w:top w:w="0" w:type="dxa"/>
            <w:left w:w="108" w:type="dxa"/>
            <w:bottom w:w="0" w:type="dxa"/>
            <w:right w:w="108" w:type="dxa"/>
          </w:tblCellMar>
        </w:tblPrEx>
        <w:trPr>
          <w:trHeight w:val="815"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EBF654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罗晓成</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7F9CF53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378F19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1D8EBD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9DBB97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参与标准编制工作，组织人员进行标准发布后的宣贯培训</w:t>
            </w:r>
          </w:p>
        </w:tc>
      </w:tr>
      <w:tr w14:paraId="19EDBE73">
        <w:tblPrEx>
          <w:tblCellMar>
            <w:top w:w="0" w:type="dxa"/>
            <w:left w:w="108" w:type="dxa"/>
            <w:bottom w:w="0" w:type="dxa"/>
            <w:right w:w="108" w:type="dxa"/>
          </w:tblCellMar>
        </w:tblPrEx>
        <w:trPr>
          <w:trHeight w:val="74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23EE6A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黄宛虹</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2233FC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D51939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D982F2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25675B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参与标准文本及编制说明编写，质量控制</w:t>
            </w:r>
          </w:p>
        </w:tc>
      </w:tr>
      <w:tr w14:paraId="0827BD40">
        <w:tblPrEx>
          <w:tblCellMar>
            <w:top w:w="0" w:type="dxa"/>
            <w:left w:w="108" w:type="dxa"/>
            <w:bottom w:w="0" w:type="dxa"/>
            <w:right w:w="108" w:type="dxa"/>
          </w:tblCellMar>
        </w:tblPrEx>
        <w:trPr>
          <w:trHeight w:val="1405"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50B00FA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莫伟平</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D5462C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95DB36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AB9153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东莞市人民医院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970D1A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6A2D86C">
        <w:tblPrEx>
          <w:tblCellMar>
            <w:top w:w="0" w:type="dxa"/>
            <w:left w:w="108" w:type="dxa"/>
            <w:bottom w:w="0" w:type="dxa"/>
            <w:right w:w="108" w:type="dxa"/>
          </w:tblCellMar>
        </w:tblPrEx>
        <w:trPr>
          <w:trHeight w:val="14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779401F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刘泽端</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41C1FA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5F7D32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4F6BD4C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6CDF7A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037E1585">
        <w:tblPrEx>
          <w:tblCellMar>
            <w:top w:w="0" w:type="dxa"/>
            <w:left w:w="108" w:type="dxa"/>
            <w:bottom w:w="0" w:type="dxa"/>
            <w:right w:w="108" w:type="dxa"/>
          </w:tblCellMar>
        </w:tblPrEx>
        <w:trPr>
          <w:trHeight w:val="136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05592C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邹光美</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2DEBE90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E5889F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5B288D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玉林市第一人民医院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D37DF4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39D1AAF9">
        <w:tblPrEx>
          <w:tblCellMar>
            <w:top w:w="0" w:type="dxa"/>
            <w:left w:w="108" w:type="dxa"/>
            <w:bottom w:w="0" w:type="dxa"/>
            <w:right w:w="108" w:type="dxa"/>
          </w:tblCellMar>
        </w:tblPrEx>
        <w:trPr>
          <w:trHeight w:val="1435"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170C378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罗 金</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4ABC0AD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2AF7D1A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0033232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玉林市第二人民医院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4D8521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D54597E">
        <w:tblPrEx>
          <w:tblCellMar>
            <w:top w:w="0" w:type="dxa"/>
            <w:left w:w="108" w:type="dxa"/>
            <w:bottom w:w="0" w:type="dxa"/>
            <w:right w:w="108" w:type="dxa"/>
          </w:tblCellMar>
        </w:tblPrEx>
        <w:trPr>
          <w:trHeight w:val="1435"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3B98F54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李明芬</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7606E1C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010FD36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vAlign w:val="center"/>
          </w:tcPr>
          <w:p w14:paraId="572ED17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广西中医药大学第一附属医院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3A27A0E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2BD1B9D7">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7FA0A9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韦尚谋</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5E76330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79169E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2098267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广西国际壮医医院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0807BC5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904118D">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7D32B3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陈 翔</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B2DF36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CE0DF5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9E4C36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柳州市柳铁中心医院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828319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B3DC8BC">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0C222CEF">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罗雪林</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1622971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80AB45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5DB4E11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来宾市人民医院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F2C22B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45439699">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C4ABBE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黄 伟</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A182E9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CC0396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55665F5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崇左市人民医院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53642DF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01E4DCA2">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CF544D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覃卫洪</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785E12F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C097B8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22D5752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河池市人民医院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1FC94C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3A33CC3F">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3F0DED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彭 征</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AA1832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13022C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5EB27F4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柳州市中医医院(柳州市壮医医院)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00C900E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40ED405F">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702F672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丁燕玲</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59609E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807CE8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E8B979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柳州市妇幼保健院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C4367A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015439D">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8CB655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黄凯华</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5DFB728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126485A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568E3E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钦州市第二人民医院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3FC45F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68D54DB3">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5ACFB5ED">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覃泽义</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D83216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AA58A9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BC2ADC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岑溪市人民医院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6918CD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2442A46">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5A12C94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李金莲</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1DC1AA2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29A9547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01A18D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博白县人民医院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6437F87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9DBE5A8">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1C16A3F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秦文珍</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2B9DCB3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F8AFB6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71DBEEF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桂林市妇幼保健院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D6A80C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387555E0">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40625D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彭秋玲</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1AE576D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00D5E5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4BE80A1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来宾市中医医院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FD7E4E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5890631E">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086C31B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苏广谢</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9BB196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9CB91C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71A3C8E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靖西市人民医院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335ED7F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4F64A23">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363752C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张泳仪</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370B20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156AA6C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78D4A9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东莞市人民医院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273F12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2790856A">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787280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曾嫚妮</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717BCE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34B6EFB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9180F3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玉林市第一人民医院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5B0D480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8B745AC">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E5B03A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苏振洲</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4A911B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51860E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234B7C0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玉林市第二人民医院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21E2E6A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9E35EC4">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9F8A961">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周晓萍</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386DC8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7C735A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406154B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广西中医药大学第一附属医院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0FC4B5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047841B8">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2B738F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甘丽英</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A11BC5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65742B0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34A487D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广西国际壮医医院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26FAF43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A1253C4">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147DF1DC">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潘刚熙</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EB4395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2309D10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4AA5838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柳州市柳铁中心医院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AB4183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0E67AFF">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C24793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梁洁琼</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E4B2C4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4EEEFA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0D6C61D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来宾市人民医院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1F220F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4173A0C5">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75093A0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卢 珮</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7E0379D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666593D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1E60A4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崇左市人民医院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512632B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7877469">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0BEB71B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韦振雷</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275821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510DAB8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47AA38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河池市人民医院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3FE0361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EEF9453">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2899D2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张红雨</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45E1C03">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19655FD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11A1F75">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柳州市中医医院（柳州市壮医医院）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235A45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4A911DA0">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819F663">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吕晓兰</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470E23A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047BC3C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B1141B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柳州市妇幼保健院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0011EBD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39BC2148">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3C2A556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梁 柳</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F1AFC1A">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0946475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682AA80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钦州市第二人民医院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77DA1F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619B6365">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01558DBE">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陈 娴</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4A2B698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E7CEA3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9311FF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岑溪市人民医院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0CA2EE4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22289BD">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2140F87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朱云柳</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5489318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2E3E777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2D78EAA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博白县人民医院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2CE5F1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066814F3">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520ADAB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李红霞</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0575B47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0F99EB9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1EF0B57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桂林市妇幼保健院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36E380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1FC7AA67">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1F86ECA">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黄志超</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12BF2449">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9DFC36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28576FA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来宾市中医医院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3D632678">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0E50FC74">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9E0FEF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梁显席</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57A249D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07F847A1">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5AE0A2A2">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靖西市人民医院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76CC151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12BF16E">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53F1A882">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磨立达</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78DA702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6F0E25D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0CCFA66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1530189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065601D">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3DD9F8FB">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马 联</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6E317DF0">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7BB9485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0E18F7A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6EE2084D">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C1186DF">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7C25395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陆月禧</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B157B5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主管技师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22AD15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7FADCAA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945210B">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4F00ADD8">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47701E1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庞晓泸</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333EFC3F">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125FD6F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nil"/>
            </w:tcBorders>
            <w:noWrap/>
            <w:vAlign w:val="center"/>
          </w:tcPr>
          <w:p w14:paraId="01C60EDC">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2634B496">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r w14:paraId="7C1C3F45">
        <w:tblPrEx>
          <w:tblCellMar>
            <w:top w:w="0" w:type="dxa"/>
            <w:left w:w="108" w:type="dxa"/>
            <w:bottom w:w="0" w:type="dxa"/>
            <w:right w:w="108" w:type="dxa"/>
          </w:tblCellMar>
        </w:tblPrEx>
        <w:trPr>
          <w:trHeight w:val="1520" w:hRule="atLeast"/>
        </w:trPr>
        <w:tc>
          <w:tcPr>
            <w:tcW w:w="924" w:type="dxa"/>
            <w:tcBorders>
              <w:top w:val="single" w:color="000000" w:sz="4" w:space="0"/>
              <w:left w:val="single" w:color="000000" w:sz="4" w:space="0"/>
              <w:bottom w:val="single" w:color="000000" w:sz="4" w:space="0"/>
              <w:right w:val="single" w:color="000000" w:sz="4" w:space="0"/>
            </w:tcBorders>
            <w:noWrap/>
            <w:vAlign w:val="center"/>
          </w:tcPr>
          <w:p w14:paraId="681A0FA8">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闭德武</w:t>
            </w:r>
          </w:p>
        </w:tc>
        <w:tc>
          <w:tcPr>
            <w:tcW w:w="1321" w:type="dxa"/>
            <w:tcBorders>
              <w:top w:val="single" w:color="000000" w:sz="4" w:space="0"/>
              <w:left w:val="single" w:color="000000" w:sz="4" w:space="0"/>
              <w:bottom w:val="single" w:color="000000" w:sz="4" w:space="0"/>
              <w:right w:val="single" w:color="000000" w:sz="4" w:space="0"/>
            </w:tcBorders>
            <w:noWrap/>
            <w:vAlign w:val="center"/>
          </w:tcPr>
          <w:p w14:paraId="4AD79837">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副主任技师</w:t>
            </w:r>
          </w:p>
        </w:tc>
        <w:tc>
          <w:tcPr>
            <w:tcW w:w="1235" w:type="dxa"/>
            <w:tcBorders>
              <w:top w:val="single" w:color="000000" w:sz="4" w:space="0"/>
              <w:left w:val="single" w:color="000000" w:sz="4" w:space="0"/>
              <w:bottom w:val="single" w:color="000000" w:sz="4" w:space="0"/>
              <w:right w:val="single" w:color="000000" w:sz="4" w:space="0"/>
            </w:tcBorders>
            <w:noWrap/>
            <w:vAlign w:val="center"/>
          </w:tcPr>
          <w:p w14:paraId="4BF75D4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医学检验</w:t>
            </w:r>
          </w:p>
        </w:tc>
        <w:tc>
          <w:tcPr>
            <w:tcW w:w="2250" w:type="dxa"/>
            <w:tcBorders>
              <w:top w:val="single" w:color="000000" w:sz="4" w:space="0"/>
              <w:left w:val="single" w:color="000000" w:sz="4" w:space="0"/>
              <w:bottom w:val="single" w:color="000000" w:sz="4" w:space="0"/>
              <w:right w:val="single" w:color="000000" w:sz="4" w:space="0"/>
            </w:tcBorders>
            <w:noWrap/>
            <w:vAlign w:val="center"/>
          </w:tcPr>
          <w:p w14:paraId="6BC365AE">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南宁市第四人民医院</w:t>
            </w:r>
          </w:p>
        </w:tc>
        <w:tc>
          <w:tcPr>
            <w:tcW w:w="3294" w:type="dxa"/>
            <w:tcBorders>
              <w:top w:val="single" w:color="000000" w:sz="4" w:space="0"/>
              <w:left w:val="single" w:color="000000" w:sz="4" w:space="0"/>
              <w:bottom w:val="single" w:color="000000" w:sz="4" w:space="0"/>
              <w:right w:val="single" w:color="000000" w:sz="4" w:space="0"/>
            </w:tcBorders>
            <w:vAlign w:val="center"/>
          </w:tcPr>
          <w:p w14:paraId="4220B714">
            <w:pPr>
              <w:widowControl/>
              <w:jc w:val="left"/>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参与标准文本及编制说明的编写；组织开展标准征求意见会；对标准实施情况进行总结分析，不断对地方标准提出修正意见</w:t>
            </w:r>
          </w:p>
        </w:tc>
      </w:tr>
    </w:tbl>
    <w:p w14:paraId="62B4456E">
      <w:pPr>
        <w:pStyle w:val="15"/>
        <w:ind w:firstLine="640" w:firstLineChars="200"/>
        <w:jc w:val="left"/>
        <w:rPr>
          <w:rFonts w:hint="eastAsia" w:ascii="黑体" w:hAnsi="黑体" w:eastAsia="黑体"/>
          <w:b w:val="0"/>
          <w:color w:val="000000" w:themeColor="text1"/>
          <w14:textFill>
            <w14:solidFill>
              <w14:schemeClr w14:val="tx1"/>
            </w14:solidFill>
          </w14:textFill>
        </w:rPr>
      </w:pPr>
      <w:r>
        <w:rPr>
          <w:rFonts w:hint="eastAsia" w:ascii="黑体" w:hAnsi="黑体" w:eastAsia="黑体"/>
          <w:b w:val="0"/>
          <w:color w:val="000000" w:themeColor="text1"/>
          <w14:textFill>
            <w14:solidFill>
              <w14:schemeClr w14:val="tx1"/>
            </w14:solidFill>
          </w14:textFill>
        </w:rPr>
        <w:t>二、制定标准的必要性和意义</w:t>
      </w:r>
    </w:p>
    <w:p w14:paraId="38D88778">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肺炎支原体（Mycoplasma pneumoniae，MP）是引起呼吸道感染的重要病原体之一，尤其在儿童、青少年及老年人等人群中具有较高的感染率，可引起严重的肺炎、支气管炎等疾病，对公共卫生健康构成严重威胁，肺炎支原体肺炎（mycoplasma pneumoniae pneumonia，MPP）是我国5岁及以上儿童最主要的社区获得性肺炎(community acquired pneumonia，CAP)。近年来，肺炎支原体感染的发生率呈上升趋势，据相关研究数据显示，在某些地区的儿童呼吸道感染病例中，肺炎支原体感染占比可达30%-50%，在全球范围内，肺炎支原体肺炎的年发病率约为10%-30%，且每隔3-7年会出现一次流行高峰。虽然肺炎支原体感染导致的死亡率相对较低，但近来重症或难治性支原体肺炎的患者数越来越多，而重症感染或合并其他基础疾病的患者中，死亡率仍不容忽视。例如，在儿童重症肺炎支原体肺炎病例中，约有1%-5%可能出现严重并发症，甚至危及生命，如何早期发现重症和危重症病例、合理救治、避免死亡和后遗症的发生是MPP诊治的核心和关键问题。准确、快速的肺炎支原体实验室检测对于疾病的早期诊断、合理治疗及疫情防控至关重要。</w:t>
      </w:r>
    </w:p>
    <w:p w14:paraId="65D1DFC2">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广西地区拥有100家以上医院开展肺炎支原体抗体检测，这些医院包括国家公立三级甲等综合性医院以及一些专业的妇女儿童医院或传染病院，广西地区在肺炎支原体抗体检测领域具有较高的医疗水平和丰富的临床经验，近5年广西针对肺炎支原体检测量约131万次。研究显示化学发光法检测肺炎支原体IgM抗体较酶联免疫法、间接免疫荧光法和被动凝集法灵敏度及特异性均高于ELISA；IFA检测灵敏度较好，但特异性较差；PA 灵敏度和特异性取决于判断标准，其中PA抗体滴度≥1∶160为判断标准时，其检测灵敏度最低，特异性最高。总之肺炎支原体抗体检测化学发光法在疾病的早期诊断与治疗具有重要作用，及时提供准确结果，使得患者能够得到有效治疗，减少疾病严重化，减轻患者负担，显著改善预后。</w:t>
      </w:r>
    </w:p>
    <w:p w14:paraId="3F81F529">
      <w:pPr>
        <w:spacing w:line="520" w:lineRule="exact"/>
        <w:ind w:firstLine="640" w:firstLineChars="20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通过制定团体标准《肺炎支原体抗体检测  吖啶酯化学发光法》，以标准为抓手，统一规范吖啶酯化学发光法对肺炎支原体抗体的检测，为吖啶酯化学发光法检测肺炎支原体抗体提供有效科学的依据，对提升肺炎支原体抗体检测水平，推动肺炎支原体抗体检测规范化发展具有重要意义。</w:t>
      </w:r>
    </w:p>
    <w:p w14:paraId="77A6FE02">
      <w:pPr>
        <w:autoSpaceDE w:val="0"/>
        <w:autoSpaceDN w:val="0"/>
        <w:adjustRightInd w:val="0"/>
        <w:spacing w:before="120" w:beforeLines="50" w:after="120" w:afterLines="50"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三、主要起草过程</w:t>
      </w:r>
    </w:p>
    <w:p w14:paraId="5C6B83F1">
      <w:pPr>
        <w:spacing w:line="560" w:lineRule="exact"/>
        <w:ind w:firstLine="643" w:firstLineChars="20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（一）成立标准编制工作组</w:t>
      </w:r>
    </w:p>
    <w:p w14:paraId="23B1A013">
      <w:pPr>
        <w:spacing w:line="520" w:lineRule="exact"/>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团体标准《肺炎支原体抗体检测  吖啶酯化学发光法》项目任务下达后，南宁市第四人民医院、东莞市人民医院、玉林市第一人民医院、玉林市第二人民医院、广西中医药大学第一附属医院、广西国际壮医医院、柳州市柳铁中心医院、来宾市人民医院、崇左市人民医院、河池市人民医院、柳州市中医医院（柳州市壮医医院）、柳州市妇幼保健院、钦州市第二人民医院、岑溪市人民医院、博白县人民医院、桂林市妇幼保健院、来宾市中医医院、靖西市人民医院等单位成立了标准编制工作组，制定了起草编写方案与进度安排，明确任务职责，确定工作技术路线，开展标准研制工作。具体标准编制工作由起草单位相关人员配合完成。</w:t>
      </w:r>
    </w:p>
    <w:p w14:paraId="7056C57A">
      <w:pPr>
        <w:spacing w:line="520" w:lineRule="exact"/>
        <w:ind w:firstLine="640" w:firstLineChars="200"/>
        <w:jc w:val="lef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为了明确标准编制的任务职责，确定工作技术路线，开展标准研制工作。编制工作组下设三个组，分别是资料收集组、草案编写组、标准实施组。</w:t>
      </w:r>
    </w:p>
    <w:p w14:paraId="4BE2CB96">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资料收集组负责国内外有关肺炎支原体抗体检测相关文献资料的查询、收集和整理工作，查阅前期对肺炎支原体抗体检测的有关研究情况和目前科学界关于肺炎支原体抗体检测的研究进展。</w:t>
      </w:r>
    </w:p>
    <w:p w14:paraId="56A9137B">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草案编写组负责起草标准草案及后续征求意见稿和标准编制说明、送审稿及编制说明等编写工作，包括后期召开征求意见会、网上征求意见，以及标准的不断修改和完善。</w:t>
      </w:r>
    </w:p>
    <w:p w14:paraId="2F5D354B">
      <w:pPr>
        <w:spacing w:line="520" w:lineRule="exact"/>
        <w:ind w:firstLine="640" w:firstLineChars="200"/>
        <w:jc w:val="left"/>
        <w:rPr>
          <w:rFonts w:ascii="仿宋_GB2312" w:eastAsia="仿宋_GB2312" w:cs="仿宋_GB2312"/>
          <w:color w:val="000000" w:themeColor="text1"/>
          <w:sz w:val="28"/>
          <w:szCs w:val="28"/>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标准实施组负责团体标准《肺炎支原体抗体检测  吖啶酯化学发光法》发布后，组织相关单位开展标准宣贯培训会，对标准进行详细解读，让相关人员了解标准，并根据标准对肺炎支原体抗体检测进行规范化操作，并对标准实施情况进行总结分析，不断对标准提出修正意见。</w:t>
      </w:r>
    </w:p>
    <w:p w14:paraId="25D24F65">
      <w:pPr>
        <w:spacing w:line="560" w:lineRule="exact"/>
        <w:ind w:firstLine="643" w:firstLineChars="20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（二）收集整理文献资料</w:t>
      </w:r>
    </w:p>
    <w:p w14:paraId="103CA4AB">
      <w:pPr>
        <w:spacing w:line="520" w:lineRule="exact"/>
        <w:ind w:firstLine="640" w:firstLineChars="2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标准编制工作组收集了国内有关“肺炎支原体 检测”“支原体抗体 检测”的相关资料。主要有：</w:t>
      </w:r>
    </w:p>
    <w:p w14:paraId="0185F8D6">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《GB/T 35909-2018猪肺炎支原体PCR检测方法》</w:t>
      </w:r>
    </w:p>
    <w:p w14:paraId="0BA7CC83">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《YY∕T1225-2014 肺炎支原体抗体检测试剂盒》</w:t>
      </w:r>
    </w:p>
    <w:p w14:paraId="3F5D7BDB">
      <w:pPr>
        <w:spacing w:line="56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《YY∕T1667-2020 肺炎衣原体IgG抗体检测试剂盒（酶联免疫吸附法）》</w:t>
      </w:r>
    </w:p>
    <w:p w14:paraId="006563BB">
      <w:pPr>
        <w:spacing w:line="560" w:lineRule="exact"/>
        <w:ind w:firstLine="643" w:firstLineChars="20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（三）研讨确定标准特色</w:t>
      </w:r>
      <w:r>
        <w:rPr>
          <w:rFonts w:ascii="楷体" w:hAnsi="楷体" w:eastAsia="楷体" w:cs="楷体"/>
          <w:b/>
          <w:color w:val="000000" w:themeColor="text1"/>
          <w:sz w:val="32"/>
          <w:szCs w:val="32"/>
          <w14:textFill>
            <w14:solidFill>
              <w14:schemeClr w14:val="tx1"/>
            </w14:solidFill>
          </w14:textFill>
        </w:rPr>
        <w:t>、</w:t>
      </w:r>
      <w:r>
        <w:rPr>
          <w:rFonts w:hint="eastAsia" w:ascii="楷体" w:hAnsi="楷体" w:eastAsia="楷体" w:cs="楷体"/>
          <w:b/>
          <w:color w:val="000000" w:themeColor="text1"/>
          <w:sz w:val="32"/>
          <w:szCs w:val="32"/>
          <w14:textFill>
            <w14:solidFill>
              <w14:schemeClr w14:val="tx1"/>
            </w14:solidFill>
          </w14:textFill>
        </w:rPr>
        <w:t>创新点和主体内容</w:t>
      </w:r>
    </w:p>
    <w:p w14:paraId="4CAFAC96">
      <w:pPr>
        <w:pStyle w:val="34"/>
        <w:rPr>
          <w:rFonts w:ascii="仿宋_GB2312" w:hAnsi="Calibri" w:eastAsia="仿宋_GB2312"/>
          <w:color w:val="000000" w:themeColor="text1"/>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标准编制工作组在对收集的资料进行整理研究之后，标准编制工作组召开了标准编制会议，对标准的整体框架结构进行了研究，并对标准的关键性内容进行了初步探讨。经过研究，标准特色、创新点和主体内容如下</w:t>
      </w:r>
      <w:r>
        <w:rPr>
          <w:rFonts w:ascii="仿宋_GB2312" w:hAnsi="Calibri" w:eastAsia="仿宋_GB2312"/>
          <w:color w:val="000000" w:themeColor="text1"/>
          <w14:textFill>
            <w14:solidFill>
              <w14:schemeClr w14:val="tx1"/>
            </w14:solidFill>
          </w14:textFill>
        </w:rPr>
        <w:t>：</w:t>
      </w:r>
    </w:p>
    <w:p w14:paraId="0A7CE46B">
      <w:pPr>
        <w:pStyle w:val="34"/>
        <w:rPr>
          <w:rFonts w:ascii="仿宋_GB2312" w:hAnsi="Calibri" w:eastAsia="仿宋_GB2312"/>
          <w:color w:val="000000" w:themeColor="text1"/>
          <w14:textFill>
            <w14:solidFill>
              <w14:schemeClr w14:val="tx1"/>
            </w14:solidFill>
          </w14:textFill>
        </w:rPr>
      </w:pPr>
      <w:r>
        <w:rPr>
          <w:rFonts w:ascii="仿宋_GB2312" w:hAnsi="Calibri" w:eastAsia="仿宋_GB2312"/>
          <w:color w:val="000000" w:themeColor="text1"/>
          <w14:textFill>
            <w14:solidFill>
              <w14:schemeClr w14:val="tx1"/>
            </w14:solidFill>
          </w14:textFill>
        </w:rPr>
        <w:t>1.</w:t>
      </w:r>
      <w:r>
        <w:rPr>
          <w:rFonts w:hint="eastAsia" w:ascii="仿宋_GB2312" w:hAnsi="Calibri" w:eastAsia="仿宋_GB2312"/>
          <w:color w:val="000000" w:themeColor="text1"/>
          <w14:textFill>
            <w14:solidFill>
              <w14:schemeClr w14:val="tx1"/>
            </w14:solidFill>
          </w14:textFill>
        </w:rPr>
        <w:t>特色、创新点</w:t>
      </w:r>
    </w:p>
    <w:p w14:paraId="74538A46">
      <w:pPr>
        <w:pStyle w:val="34"/>
        <w:rPr>
          <w:rFonts w:ascii="仿宋_GB2312" w:hAnsi="Calibri" w:eastAsia="仿宋_GB2312"/>
          <w:color w:val="000000" w:themeColor="text1"/>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吖啶酯化学发光法检测肺炎支原体抗体采用直接化学发光技术的两步间接法进行检测，操作简单：第一步孵育：样本中的肺炎支原体IgM（IgG）和超顺磁性微粒上包被的肺炎支原体抗原反应，形成抗原-抗体复合物。清洗：在磁场作用下，磁微粒被吸附到反应管壁，未结合的物质被清洗液洗去。</w:t>
      </w:r>
    </w:p>
    <w:p w14:paraId="43ECA27B">
      <w:pPr>
        <w:pStyle w:val="34"/>
        <w:rPr>
          <w:rFonts w:ascii="仿宋_GB2312" w:hAnsi="Calibri" w:eastAsia="仿宋_GB2312"/>
          <w:color w:val="000000" w:themeColor="text1"/>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第二步孵育：加入吖啶标记的鼠抗人IgM（IgG）进行反应，形成抗原-抗体-二抗复合物。 再次清洗。激发和读数：在反应混合物中加入预激发液和激发液，测试结果以相对发光强度（RLU）表示。样本中的肺炎支原体IgM（IgG）的量和测定仪光学系统检测到的相对发光强度（RLU）之间成正比。测定仪自动将样本产生的相对发光强度（RLU）与肺炎支原体IgM（IgG）校准品计算给出结果。</w:t>
      </w:r>
    </w:p>
    <w:p w14:paraId="682216AF">
      <w:pPr>
        <w:pStyle w:val="34"/>
        <w:rPr>
          <w:rFonts w:ascii="仿宋_GB2312" w:hAnsi="Calibri" w:eastAsia="仿宋_GB2312"/>
          <w:color w:val="000000" w:themeColor="text1"/>
          <w:highlight w:val="yellow"/>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准确度高：测量结果平均值与标示值的相对偏差应在±10%范围内。精密度：精密度测试采用改进的CLSI（美国临床实验室标准化研究所）EP5-A2 程序。批内精密度IgM&lt;7.5%、IgG CV&lt;5%和总不精密度IgM、IgG CV（&lt;5.5%。肺炎支原体抗体检测分析灵敏度IgG达 2.0 AU/mL。分析特异性高：采用不同病原体抗体阳性样本进行评估，所有评估样本均采用商业化肺炎支原体IgG 确认试剂检测并判定为无反应性。</w:t>
      </w:r>
    </w:p>
    <w:p w14:paraId="7ECD14C8">
      <w:pPr>
        <w:pStyle w:val="34"/>
        <w:rPr>
          <w:rFonts w:ascii="仿宋_GB2312" w:hAnsi="Calibri" w:eastAsia="仿宋_GB2312"/>
          <w:color w:val="000000" w:themeColor="text1"/>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2</w:t>
      </w:r>
      <w:r>
        <w:rPr>
          <w:rFonts w:ascii="仿宋_GB2312" w:hAnsi="Calibri" w:eastAsia="仿宋_GB2312"/>
          <w:color w:val="000000" w:themeColor="text1"/>
          <w14:textFill>
            <w14:solidFill>
              <w14:schemeClr w14:val="tx1"/>
            </w14:solidFill>
          </w14:textFill>
        </w:rPr>
        <w:t>.</w:t>
      </w:r>
      <w:r>
        <w:rPr>
          <w:rFonts w:hint="eastAsia" w:ascii="仿宋_GB2312" w:hAnsi="Calibri" w:eastAsia="仿宋_GB2312"/>
          <w:color w:val="000000" w:themeColor="text1"/>
          <w14:textFill>
            <w14:solidFill>
              <w14:schemeClr w14:val="tx1"/>
            </w14:solidFill>
          </w14:textFill>
        </w:rPr>
        <w:t>主体内容</w:t>
      </w:r>
    </w:p>
    <w:p w14:paraId="1CA33B5D">
      <w:pPr>
        <w:pStyle w:val="34"/>
        <w:rPr>
          <w:rFonts w:ascii="仿宋_GB2312" w:hAnsi="Calibri" w:eastAsia="仿宋_GB2312"/>
          <w:color w:val="000000" w:themeColor="text1"/>
          <w14:textFill>
            <w14:solidFill>
              <w14:schemeClr w14:val="tx1"/>
            </w14:solidFill>
          </w14:textFill>
        </w:rPr>
      </w:pPr>
      <w:r>
        <w:rPr>
          <w:rFonts w:hint="eastAsia" w:ascii="仿宋_GB2312" w:hAnsi="Calibri" w:eastAsia="仿宋_GB2312"/>
          <w:color w:val="000000" w:themeColor="text1"/>
          <w14:textFill>
            <w14:solidFill>
              <w14:schemeClr w14:val="tx1"/>
            </w14:solidFill>
          </w14:textFill>
        </w:rPr>
        <w:t>主体内容包括原理、仪器和设备、试剂和材料、样本采集和处理、检测程序、结果判定、结果解释、质量控制、性能验证、样本保存、医疗废弃物处置。</w:t>
      </w:r>
    </w:p>
    <w:p w14:paraId="3D291841">
      <w:pPr>
        <w:spacing w:line="560" w:lineRule="exact"/>
        <w:ind w:firstLine="643" w:firstLineChars="200"/>
        <w:rPr>
          <w:rFonts w:hint="eastAsia" w:ascii="楷体" w:hAnsi="楷体" w:eastAsia="楷体" w:cs="楷体"/>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（四）调研及形成草案、征求意见稿</w:t>
      </w:r>
    </w:p>
    <w:p w14:paraId="6C945BAA">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w:t>
      </w:r>
      <w:r>
        <w:rPr>
          <w:rFonts w:ascii="仿宋_GB2312" w:eastAsia="仿宋_GB2312"/>
          <w:color w:val="000000" w:themeColor="text1"/>
          <w:sz w:val="32"/>
          <w:szCs w:val="32"/>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月～</w:t>
      </w:r>
      <w:r>
        <w:rPr>
          <w:rFonts w:ascii="仿宋_GB2312" w:eastAsia="仿宋_GB2312"/>
          <w:color w:val="000000" w:themeColor="text1"/>
          <w:sz w:val="32"/>
          <w:szCs w:val="32"/>
          <w14:textFill>
            <w14:solidFill>
              <w14:schemeClr w14:val="tx1"/>
            </w14:solidFill>
          </w14:textFill>
        </w:rPr>
        <w:t>9</w:t>
      </w:r>
      <w:r>
        <w:rPr>
          <w:rFonts w:hint="eastAsia" w:ascii="仿宋_GB2312" w:eastAsia="仿宋_GB2312"/>
          <w:color w:val="000000" w:themeColor="text1"/>
          <w:sz w:val="32"/>
          <w:szCs w:val="32"/>
          <w14:textFill>
            <w14:solidFill>
              <w14:schemeClr w14:val="tx1"/>
            </w14:solidFill>
          </w14:textFill>
        </w:rPr>
        <w:t>月，标准编制工作组查阅了大量的国内文献资料，经编制组反复讨论，对肺炎支原体抗体检测的实践情况进行系统总结，形成了标准的基本构架，对主要内容进行了讨论并对项目的工作进行了部署和安排。</w:t>
      </w:r>
    </w:p>
    <w:p w14:paraId="128D71BC">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w:t>
      </w:r>
      <w:r>
        <w:rPr>
          <w:rFonts w:ascii="仿宋_GB2312" w:eastAsia="仿宋_GB2312"/>
          <w:color w:val="000000" w:themeColor="text1"/>
          <w:sz w:val="32"/>
          <w:szCs w:val="32"/>
          <w14:textFill>
            <w14:solidFill>
              <w14:schemeClr w14:val="tx1"/>
            </w14:solidFill>
          </w14:textFill>
        </w:rPr>
        <w:t>10</w:t>
      </w:r>
      <w:r>
        <w:rPr>
          <w:rFonts w:hint="eastAsia" w:ascii="仿宋_GB2312" w:eastAsia="仿宋_GB2312"/>
          <w:color w:val="000000" w:themeColor="text1"/>
          <w:sz w:val="32"/>
          <w:szCs w:val="32"/>
          <w14:textFill>
            <w14:solidFill>
              <w14:schemeClr w14:val="tx1"/>
            </w14:solidFill>
          </w14:textFill>
        </w:rPr>
        <w:t>月～</w:t>
      </w:r>
      <w:r>
        <w:rPr>
          <w:rFonts w:ascii="仿宋_GB2312" w:eastAsia="仿宋_GB2312"/>
          <w:color w:val="000000" w:themeColor="text1"/>
          <w:sz w:val="32"/>
          <w:szCs w:val="32"/>
          <w14:textFill>
            <w14:solidFill>
              <w14:schemeClr w14:val="tx1"/>
            </w14:solidFill>
          </w14:textFill>
        </w:rPr>
        <w:t>11</w:t>
      </w:r>
      <w:r>
        <w:rPr>
          <w:rFonts w:hint="eastAsia" w:ascii="仿宋_GB2312" w:eastAsia="仿宋_GB2312"/>
          <w:color w:val="000000" w:themeColor="text1"/>
          <w:sz w:val="32"/>
          <w:szCs w:val="32"/>
          <w14:textFill>
            <w14:solidFill>
              <w14:schemeClr w14:val="tx1"/>
            </w14:solidFill>
          </w14:textFill>
        </w:rPr>
        <w:t>月，在前期工作的基础之上，通过理清逻辑脉络，整合已有参考资料中有关肺炎支原体抗体检测的要求，并在目前肺炎支原体抗体检测实际操作的基础上，按照简化、统一等原则编制完成团体标准《肺炎支原体抗体检测  吖啶酯化学发光法》（草案）。</w:t>
      </w:r>
    </w:p>
    <w:p w14:paraId="5750FF34">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w:t>
      </w:r>
      <w:r>
        <w:rPr>
          <w:rFonts w:ascii="仿宋_GB2312" w:eastAsia="仿宋_GB2312"/>
          <w:color w:val="000000" w:themeColor="text1"/>
          <w:sz w:val="32"/>
          <w:szCs w:val="32"/>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月，标准编制工作组征求</w:t>
      </w:r>
      <w:r>
        <w:rPr>
          <w:rFonts w:ascii="仿宋_GB2312" w:eastAsia="仿宋_GB2312"/>
          <w:color w:val="000000" w:themeColor="text1"/>
          <w:sz w:val="32"/>
          <w:szCs w:val="32"/>
          <w14:textFill>
            <w14:solidFill>
              <w14:schemeClr w14:val="tx1"/>
            </w14:solidFill>
          </w14:textFill>
        </w:rPr>
        <w:t>到了</w:t>
      </w:r>
      <w:r>
        <w:rPr>
          <w:rFonts w:hint="eastAsia" w:ascii="仿宋_GB2312" w:eastAsia="仿宋_GB2312"/>
          <w:color w:val="000000" w:themeColor="text1"/>
          <w:sz w:val="32"/>
          <w:szCs w:val="32"/>
          <w14:textFill>
            <w14:solidFill>
              <w14:schemeClr w14:val="tx1"/>
            </w14:solidFill>
          </w14:textFill>
        </w:rPr>
        <w:t>南宁市第四人民医院、东莞市人民医院、玉林市第一人民医院、玉林市第二人民医院、广西中医药大学第一附属医院、广西国际壮医医院、柳州市柳铁中心医院、来宾市人民医院、崇左市人民医院、河池市人民医院、柳州市中医医院（柳州市壮医医院）、柳州市妇幼保健院、钦州市第二人民医院、岑溪市人民医院、博白县人民医院、桂林市妇幼保健院、来宾市中医医院、靖西市人民医院等单位的内部意见，通过收集反馈的意见，标准编制工作组多次召开会议，对标准草案进行了反复修改和研究讨论，明确肺炎支原体抗体检测的要点，掌握了肺炎支原体抗体检测的基本情况以及要求，最终形成了</w:t>
      </w:r>
      <w:bookmarkStart w:id="0" w:name="_Hlk120181503"/>
      <w:r>
        <w:rPr>
          <w:rFonts w:hint="eastAsia" w:ascii="仿宋_GB2312" w:eastAsia="仿宋_GB2312"/>
          <w:color w:val="000000" w:themeColor="text1"/>
          <w:sz w:val="32"/>
          <w:szCs w:val="32"/>
          <w14:textFill>
            <w14:solidFill>
              <w14:schemeClr w14:val="tx1"/>
            </w14:solidFill>
          </w14:textFill>
        </w:rPr>
        <w:t>团体标准《肺炎支原体抗体检测  吖啶酯化学发光法》（征求意见稿）及其编制说明。</w:t>
      </w:r>
      <w:bookmarkEnd w:id="0"/>
    </w:p>
    <w:p w14:paraId="595B59C9">
      <w:pPr>
        <w:autoSpaceDE w:val="0"/>
        <w:autoSpaceDN w:val="0"/>
        <w:adjustRightInd w:val="0"/>
        <w:spacing w:before="120" w:beforeLines="50" w:after="120" w:afterLines="50"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四、制定标准的原则和依据，与现行法律、法规的关系，与有关国家标准、行业标准的协调情况</w:t>
      </w:r>
    </w:p>
    <w:p w14:paraId="20906371">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（一）编制原则</w:t>
      </w:r>
    </w:p>
    <w:p w14:paraId="5E439D59">
      <w:pPr>
        <w:spacing w:line="560" w:lineRule="exact"/>
        <w:ind w:firstLine="643" w:firstLineChars="200"/>
        <w:rPr>
          <w:rFonts w:hint="eastAsia"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1、实用性原则</w:t>
      </w:r>
    </w:p>
    <w:p w14:paraId="62F83B1E">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是在充分收集国内外相关资料和文献、调研分析肺炎支原体抗体检测现状，结合起草单位前期研究工作取得的研究成果及积累的实践经验，并借鉴国内肺炎支原体抗体检测进行总结起草的，符合工作实际，有利于肺炎支原体抗体检测的实施与推广，具有可操作性和实用性。</w:t>
      </w:r>
    </w:p>
    <w:p w14:paraId="6800DB4B">
      <w:pPr>
        <w:spacing w:line="560" w:lineRule="exact"/>
        <w:ind w:firstLine="643" w:firstLineChars="200"/>
        <w:rPr>
          <w:rFonts w:hint="eastAsia"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2、协调性原则</w:t>
      </w:r>
    </w:p>
    <w:p w14:paraId="03E9AD95">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本文件编写过程中注意了与肺炎支原体抗体检测相关法律法规的协调问题，在内容上与现行法律法规、标准协调一致。</w:t>
      </w:r>
    </w:p>
    <w:p w14:paraId="36B4DEBB">
      <w:pPr>
        <w:spacing w:line="560" w:lineRule="exact"/>
        <w:ind w:firstLine="643" w:firstLineChars="200"/>
        <w:rPr>
          <w:rFonts w:hint="eastAsia"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3、规范性原则</w:t>
      </w:r>
    </w:p>
    <w:p w14:paraId="53D18F36">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本文件严格按照GB/T 1.1—2020《标准化工作规范  第1部分：标准化文件的结构和起草规则》编写本标准的内容，保证标准的编写质量。</w:t>
      </w:r>
    </w:p>
    <w:p w14:paraId="296FFE4F">
      <w:pPr>
        <w:spacing w:line="560" w:lineRule="exact"/>
        <w:ind w:firstLine="643" w:firstLineChars="200"/>
        <w:rPr>
          <w:rFonts w:hint="eastAsia" w:ascii="仿宋_GB2312" w:hAnsi="楷体" w:eastAsia="仿宋_GB2312" w:cs="Times New Roman"/>
          <w:b/>
          <w:color w:val="000000" w:themeColor="text1"/>
          <w:sz w:val="32"/>
          <w:szCs w:val="32"/>
          <w14:textFill>
            <w14:solidFill>
              <w14:schemeClr w14:val="tx1"/>
            </w14:solidFill>
          </w14:textFill>
        </w:rPr>
      </w:pPr>
      <w:r>
        <w:rPr>
          <w:rFonts w:hint="eastAsia" w:ascii="仿宋_GB2312" w:hAnsi="楷体" w:eastAsia="仿宋_GB2312" w:cs="Times New Roman"/>
          <w:b/>
          <w:color w:val="000000" w:themeColor="text1"/>
          <w:sz w:val="32"/>
          <w:szCs w:val="32"/>
          <w14:textFill>
            <w14:solidFill>
              <w14:schemeClr w14:val="tx1"/>
            </w14:solidFill>
          </w14:textFill>
        </w:rPr>
        <w:t>4、前瞻性原则</w:t>
      </w:r>
    </w:p>
    <w:p w14:paraId="487BE18F">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本文件在兼顾当前肺炎支原体抗体检测现实情况的同时，还考虑到了肺炎支原体抗体检测的需要，在标准中体现了个别特色性、前瞻性和先进性条款，作为对肺炎支原体抗体检测的指导。</w:t>
      </w:r>
    </w:p>
    <w:p w14:paraId="53890204">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（二）编制依据</w:t>
      </w:r>
    </w:p>
    <w:p w14:paraId="4A1F2FD7">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本标准严格按照GB/T 1.1—2020《标准化工作规范  第1部分：标准化文件的结构和起草规则》的规则起草，标准主要内容依据起草单位在肺炎支原体抗体检测过程中的实践经验确定。</w:t>
      </w:r>
    </w:p>
    <w:p w14:paraId="297B2386">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（三）与现行法律、法规的关系，与有关国家标准、行业标准的协调情况</w:t>
      </w:r>
    </w:p>
    <w:p w14:paraId="740E8C0A">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本标准与相关法律法规、强制性标准协调一致，无冲突。</w:t>
      </w:r>
    </w:p>
    <w:p w14:paraId="6D1F5CF5">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经查阅，截至目前，国内</w:t>
      </w:r>
      <w:r>
        <w:rPr>
          <w:rFonts w:hint="eastAsia" w:ascii="Times New Roman" w:hAnsi="Times New Roman" w:eastAsia="仿宋_GB2312" w:cs="Times New Roman"/>
          <w:color w:val="000000" w:themeColor="text1"/>
          <w:sz w:val="32"/>
          <w:szCs w:val="32"/>
          <w14:textFill>
            <w14:solidFill>
              <w14:schemeClr w14:val="tx1"/>
            </w14:solidFill>
          </w14:textFill>
        </w:rPr>
        <w:t>与“肺炎支原体 检测”“支原体抗体 检测”相关的标准有：《GB/T 35909-2018猪肺炎支原体PCR检测方法》《YY∕T1225-2014 肺炎支原体抗体检测试剂盒》《YY∕T1667-2020 肺炎衣原体IgG抗体检测试剂盒（酶联免疫吸附法）》。</w:t>
      </w:r>
      <w:r>
        <w:rPr>
          <w:rFonts w:hint="eastAsia" w:ascii="仿宋_GB2312" w:eastAsia="仿宋_GB2312"/>
          <w:color w:val="000000" w:themeColor="text1"/>
          <w:sz w:val="32"/>
          <w:szCs w:val="32"/>
          <w14:textFill>
            <w14:solidFill>
              <w14:schemeClr w14:val="tx1"/>
            </w14:solidFill>
          </w14:textFill>
        </w:rPr>
        <w:t>其中，《GB/T 35909-2018猪肺炎支原体PCR检测方法》规定了猪肺炎支原体PCR检测的操作方法。适用于实验室对猪临床样品（猪鼻拭子、肺组织和支气管肺泡灌洗液）、细菌培养物和动物产品中猪肺炎支原体核酸的快速检测。</w:t>
      </w:r>
    </w:p>
    <w:p w14:paraId="673E109F">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《YY∕T1225-2014 肺炎支原体抗体检测试剂盒》规定了肺炎支原体抗体检测试剂盒的产品分类、要求、检验方法、检验规则、标识、标签、包装、运输及储存。适用于胶体金法、酶联免疫法定性测定人血清、血浆和全血中的肺炎支原体IgG、IgM抗体的检测试剂盒。</w:t>
      </w:r>
    </w:p>
    <w:p w14:paraId="53109A13">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《YY∕T1667-2020 肺炎衣原体IgG抗体检测试剂盒（酶联免疫吸附法）》规定了肺炎衣原体IgG抗体检测试剂盒（酶联免疫吸附法)的要求、试验方法、标签和使用说明书以及包装、运输和贮存。适用于采用酶联免疫吸附法，定性检测人体血清或血浆中肺炎衣原体IgG抗体的检测试剂盒。</w:t>
      </w:r>
    </w:p>
    <w:p w14:paraId="3EF39D79">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综上所述，目前与关键词相关的标准主要采用的方法是聚合酶链式反应（PCR）检测、胶体金法和酶联免疫吸附法，其中涉及胶体金法和酶联免疫吸附法的两项标准对试剂盒的产品质量和使用方法等提出要求，与本标准给出使用化学发光法检测肺炎支原体抗体的方法内容存在差异，同时给出的PCR检测不适用于人体检测。因此，制定团体标准《肺炎支原体抗体检测 吖啶酯化学发光法》将填补化学发光法在肺炎支原体抗体检测领域的标准空白，该检测技术进行推广应用，将为行业提供一种检测速度快、灵敏度高、特异性强、自动化程度高、检测范围广的肺炎支原体抗体检测方法，有利于提升临床诊断水平，促进肺炎的合理治疗和疫情防控，助力健康中国目标实现</w:t>
      </w:r>
    </w:p>
    <w:p w14:paraId="22ED0B3E">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本标准的内容与现行的法律法规及强制性标准无冲突，本文件相关指标不低于强制性国家标准的相关技术要求，标准的编写符合GB/T 1.1—2020的要求。</w:t>
      </w:r>
    </w:p>
    <w:p w14:paraId="7AD50CA8">
      <w:pPr>
        <w:autoSpaceDE w:val="0"/>
        <w:autoSpaceDN w:val="0"/>
        <w:adjustRightInd w:val="0"/>
        <w:spacing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五、主要条款的说明</w:t>
      </w:r>
    </w:p>
    <w:p w14:paraId="5A537FA4">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团体标准《肺炎支原体抗体检测  吖啶酯化学发光法》的主要章节内容包括原理、仪器和设备、试剂和材料、样本采集和处理、检测程序、结果判定、结果解释、质量控制、性能验证、样本保存、医疗废弃物处置。本文件主要内容及依据来源说明如下：</w:t>
      </w:r>
    </w:p>
    <w:p w14:paraId="5054A519">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（一）原理</w:t>
      </w:r>
    </w:p>
    <w:p w14:paraId="5A4E86D9">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依据吖啶酯在过氧化氢（预激发液）与氢氧化钠（激发液）作用下的氧化发光反应机制，结合该类标记物“无催化反应、发光强度高、反应速度快”的技术特点设计。吖啶酯化学发光法作为主流免疫检测技术，其核心优势在于发光标记物的高灵敏度与特异性，清晰阐述“抗原-抗体结合-发光信号转化-定量/定性分析”的完整链路，确保技术原理与检测方法的适配性。该方法针对肺炎支原体IgM/IgG抗体检测的特异性设计，为后续仪器、试剂、检测程序等章节提供理论支撑。</w:t>
      </w:r>
    </w:p>
    <w:p w14:paraId="119819B6">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（二）仪器设备</w:t>
      </w:r>
    </w:p>
    <w:p w14:paraId="131F1DA8">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仪器设备选型需对应样本处理、检测分析、样本保存等关键环节，确保各环节设备功能互补，满足标准化检测的连续性要求。：针对吖啶酯化学发光法的检测特性，对离心机的相对离心力（RCF）、医用冰箱的温度范围等关键参数进行限定，避免因设备参数不匹配影响检测结果准确性。</w:t>
      </w:r>
    </w:p>
    <w:p w14:paraId="2BC174E6">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（三）试剂材料</w:t>
      </w:r>
    </w:p>
    <w:p w14:paraId="37AE5E3E">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试剂组成覆盖“抗原包被-标记结合-信号激发-清洗分离”全反应过程，确保各试剂组分功能协同，满足原理章节所述的反应机制要求。针对激发液（含氢氧化钠）的腐蚀性风险，增设安全警告；明确试剂纯度、采血管技术要求、质控品浓度水平等关键指标，从源头控制检测误差。</w:t>
      </w:r>
    </w:p>
    <w:p w14:paraId="37623D53">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（四）样本采集和处理</w:t>
      </w:r>
    </w:p>
    <w:p w14:paraId="4ED779F6">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样本采集、离心、保存、运输等各环节的操作规范，均以减少样本降解、避免抗体活性丧失为核心目标，保障检测样本的有效性。区分血清与血浆两种样本类型的处理流程，基于血清 / 血浆中抗体的稳定性规律，参考《临床免疫学检验标本管理规范》，确定不同保存时长的温度条件（8h内、8h～7d、超过7d），满足临床急诊、常规检测、样本转运等不同场景需求。限定样本冻融次数（不超过3次）、禁止热灭活样本等要求，针对样本处理中易导致结果偏差的关键环节制定管控措施。</w:t>
      </w:r>
    </w:p>
    <w:p w14:paraId="3B6E9FEB">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（五）检测程序</w:t>
      </w:r>
    </w:p>
    <w:p w14:paraId="1DF9D423">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参考全自动化学发光测定仪的通用操作、化学发光免疫检测的通用流程，结合肺炎支原体抗体检测的特异性反应体系，设计检测步骤。对孵育温度（37℃）、孵育时间（10min）、加样体积（5μL 样本、95μL 稀释液等）等核心参数进行精准限定，确保检测反应的一致性。检测步骤的设计严格遵循第5章原理，从抗原-抗体结合、清洗分离到信号激发的每一步均对应原理中的反应环节；数据处理方法与标准曲线建立逻辑一致，确保结果计算的科学性。明确标准曲线建立的校准品浓度数量（IgM 2个浓度、IgG 3个浓度）、重复检测次数等要求，确保定量结果的准确性。</w:t>
      </w:r>
    </w:p>
    <w:p w14:paraId="144C0D6C">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（六）结果判定</w:t>
      </w:r>
    </w:p>
    <w:p w14:paraId="44AB9F62">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区分抗体类型的判定逻辑：针对IgM（近期感染标志物）与IgG（既往感染标志物）的临床意义差异，分别制定判定标准，确保结果判定与临床诊断需求一致。</w:t>
      </w:r>
    </w:p>
    <w:p w14:paraId="070E4075">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设置合理灰区范围：参考免疫检测的常规灰区设定原则（判定临界值±10%），对IgM（0.9≤COI&lt;1.1）与IgG（24.0 AU/mL≤浓度&lt;36.0AU/mL）设置灰区，避免因检测误差导致的误判，同时给出复检建议。</w:t>
      </w:r>
    </w:p>
    <w:p w14:paraId="48CB716A">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量化判定阈值：基于试剂盒性能验证数据与临床样本检测结果，确定明确的数值阈值（如IgM COI≥1.1、IgG≥36.0 AU/mL），确保判定标准的客观性与可操作性。</w:t>
      </w:r>
    </w:p>
    <w:p w14:paraId="3FCAD017">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（七）肺炎支原体IgG试验验证过程</w:t>
      </w:r>
    </w:p>
    <w:p w14:paraId="39FD21D0">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1.精密度</w:t>
      </w:r>
    </w:p>
    <w:p w14:paraId="5DDB92E9">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使用低高2个浓度样本（阴阳性区分）。连续测定5天，每天一个分析批，每批2个浓度水平，每一个浓度水平同一样品重复测定3次，计算其CV值。（要求为CV≦15%，实验室标准差小于验证值）。依据标准WS/T 492-2016《临床检验定量测定项目精密度与正确度性能验证》开展验证。精密度验证数据见表1。</w:t>
      </w:r>
    </w:p>
    <w:p w14:paraId="3F673DFB">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3CB2703">
      <w:pPr>
        <w:spacing w:line="520" w:lineRule="exact"/>
        <w:ind w:firstLine="640" w:firstLineChars="200"/>
        <w:rPr>
          <w:rFonts w:ascii="仿宋_GB2312" w:eastAsia="仿宋_GB2312"/>
          <w:color w:val="000000" w:themeColor="text1"/>
          <w:sz w:val="32"/>
          <w:szCs w:val="32"/>
          <w14:textFill>
            <w14:solidFill>
              <w14:schemeClr w14:val="tx1"/>
            </w14:solidFill>
          </w14:textFill>
        </w:rPr>
        <w:sectPr>
          <w:footerReference r:id="rId3" w:type="default"/>
          <w:pgSz w:w="11906" w:h="16838"/>
          <w:pgMar w:top="1474" w:right="1474" w:bottom="1474" w:left="1474" w:header="851" w:footer="992" w:gutter="0"/>
          <w:cols w:space="720" w:num="1"/>
          <w:docGrid w:linePitch="312" w:charSpace="0"/>
        </w:sectPr>
      </w:pPr>
    </w:p>
    <w:p w14:paraId="76C18FD6">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lang w:eastAsia="zh-CN"/>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表1</w:t>
      </w:r>
      <w:r>
        <w:rPr>
          <w:rFonts w:hint="eastAsia" w:ascii="仿宋_GB2312" w:eastAsia="仿宋_GB2312"/>
          <w:color w:val="000000" w:themeColor="text1"/>
          <w:sz w:val="22"/>
          <w:szCs w:val="22"/>
          <w:lang w:val="en-US" w:eastAsia="zh-CN"/>
          <w14:textFill>
            <w14:solidFill>
              <w14:schemeClr w14:val="tx1"/>
            </w14:solidFill>
          </w14:textFill>
        </w:rPr>
        <w:t>.1</w:t>
      </w:r>
      <w:r>
        <w:rPr>
          <w:rFonts w:hint="eastAsia" w:ascii="仿宋_GB2312" w:eastAsia="仿宋_GB2312"/>
          <w:color w:val="000000" w:themeColor="text1"/>
          <w:sz w:val="22"/>
          <w:szCs w:val="22"/>
          <w14:textFill>
            <w14:solidFill>
              <w14:schemeClr w14:val="tx1"/>
            </w14:solidFill>
          </w14:textFill>
        </w:rPr>
        <w:t xml:space="preserve">  精密度验证数据</w:t>
      </w:r>
      <w:r>
        <w:rPr>
          <w:rFonts w:hint="eastAsia" w:ascii="仿宋_GB2312" w:eastAsia="仿宋_GB2312"/>
          <w:color w:val="000000" w:themeColor="text1"/>
          <w:sz w:val="22"/>
          <w:szCs w:val="22"/>
          <w:lang w:eastAsia="zh-CN"/>
          <w14:textFill>
            <w14:solidFill>
              <w14:schemeClr w14:val="tx1"/>
            </w14:solidFill>
          </w14:textFill>
        </w:rPr>
        <w:t>（</w:t>
      </w:r>
      <w:r>
        <w:rPr>
          <w:rFonts w:hint="eastAsia" w:ascii="仿宋_GB2312" w:eastAsia="仿宋_GB2312"/>
          <w:color w:val="000000" w:themeColor="text1"/>
          <w:sz w:val="22"/>
          <w:szCs w:val="22"/>
          <w:lang w:val="en-US" w:eastAsia="zh-CN"/>
          <w14:textFill>
            <w14:solidFill>
              <w14:schemeClr w14:val="tx1"/>
            </w14:solidFill>
          </w14:textFill>
        </w:rPr>
        <w:t>水平1、2</w:t>
      </w:r>
      <w:r>
        <w:rPr>
          <w:rFonts w:hint="eastAsia" w:ascii="仿宋_GB2312" w:eastAsia="仿宋_GB2312"/>
          <w:color w:val="000000" w:themeColor="text1"/>
          <w:sz w:val="22"/>
          <w:szCs w:val="22"/>
          <w:lang w:eastAsia="zh-CN"/>
          <w14:textFill>
            <w14:solidFill>
              <w14:schemeClr w14:val="tx1"/>
            </w14:solidFill>
          </w14:textFill>
        </w:rPr>
        <w:t>）</w:t>
      </w:r>
    </w:p>
    <w:tbl>
      <w:tblPr>
        <w:tblStyle w:val="17"/>
        <w:tblW w:w="5000" w:type="pct"/>
        <w:tblInd w:w="0" w:type="dxa"/>
        <w:tblLayout w:type="fixed"/>
        <w:tblCellMar>
          <w:top w:w="0" w:type="dxa"/>
          <w:left w:w="108" w:type="dxa"/>
          <w:bottom w:w="0" w:type="dxa"/>
          <w:right w:w="108" w:type="dxa"/>
        </w:tblCellMar>
      </w:tblPr>
      <w:tblGrid>
        <w:gridCol w:w="1098"/>
        <w:gridCol w:w="807"/>
        <w:gridCol w:w="807"/>
        <w:gridCol w:w="807"/>
        <w:gridCol w:w="807"/>
        <w:gridCol w:w="807"/>
        <w:gridCol w:w="3"/>
        <w:gridCol w:w="804"/>
        <w:gridCol w:w="807"/>
        <w:gridCol w:w="807"/>
        <w:gridCol w:w="807"/>
        <w:gridCol w:w="813"/>
      </w:tblGrid>
      <w:tr w14:paraId="6B79D9F8">
        <w:tblPrEx>
          <w:tblCellMar>
            <w:top w:w="0" w:type="dxa"/>
            <w:left w:w="108" w:type="dxa"/>
            <w:bottom w:w="0" w:type="dxa"/>
            <w:right w:w="108" w:type="dxa"/>
          </w:tblCellMar>
        </w:tblPrEx>
        <w:trPr>
          <w:trHeight w:val="499"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9ED5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cs="Times New Roman"/>
                <w:color w:val="000000"/>
                <w:sz w:val="20"/>
                <w:szCs w:val="20"/>
              </w:rPr>
            </w:pPr>
            <w:r>
              <w:rPr>
                <w:rFonts w:hint="eastAsia" w:ascii="宋体" w:hAnsi="宋体" w:cs="Times New Roman"/>
                <w:color w:val="000000"/>
                <w:kern w:val="0"/>
                <w:sz w:val="20"/>
                <w:szCs w:val="20"/>
              </w:rPr>
              <w:t>试验结果</w:t>
            </w:r>
          </w:p>
        </w:tc>
      </w:tr>
      <w:tr w14:paraId="717D6FDD">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FE6A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质控品</w:t>
            </w:r>
          </w:p>
          <w:p w14:paraId="3CABEF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水平</w:t>
            </w:r>
          </w:p>
        </w:tc>
        <w:tc>
          <w:tcPr>
            <w:tcW w:w="2199" w:type="pct"/>
            <w:gridSpan w:val="5"/>
            <w:tcBorders>
              <w:top w:val="single" w:color="000000" w:sz="4" w:space="0"/>
              <w:left w:val="nil"/>
              <w:bottom w:val="single" w:color="000000" w:sz="4" w:space="0"/>
              <w:right w:val="single" w:color="000000" w:sz="4" w:space="0"/>
            </w:tcBorders>
            <w:shd w:val="clear" w:color="auto" w:fill="FFFFFF"/>
            <w:noWrap/>
            <w:vAlign w:val="center"/>
          </w:tcPr>
          <w:p w14:paraId="2AFE147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Level 1</w:t>
            </w:r>
          </w:p>
        </w:tc>
        <w:tc>
          <w:tcPr>
            <w:tcW w:w="2202" w:type="pct"/>
            <w:gridSpan w:val="6"/>
            <w:tcBorders>
              <w:top w:val="single" w:color="000000" w:sz="4" w:space="0"/>
              <w:left w:val="nil"/>
              <w:bottom w:val="single" w:color="000000" w:sz="4" w:space="0"/>
              <w:right w:val="single" w:color="000000" w:sz="4" w:space="0"/>
            </w:tcBorders>
            <w:shd w:val="clear" w:color="auto" w:fill="FFFFFF"/>
            <w:noWrap/>
            <w:vAlign w:val="center"/>
          </w:tcPr>
          <w:p w14:paraId="70651903">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Level 2</w:t>
            </w:r>
          </w:p>
        </w:tc>
      </w:tr>
      <w:tr w14:paraId="5209A18E">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9612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测试批次</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850F65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第1天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507A4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第2天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14A18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第3天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129E94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第4天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68AFFF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第5天</w:t>
            </w:r>
          </w:p>
        </w:tc>
        <w:tc>
          <w:tcPr>
            <w:tcW w:w="439" w:type="pct"/>
            <w:gridSpan w:val="2"/>
            <w:tcBorders>
              <w:top w:val="single" w:color="000000" w:sz="4" w:space="0"/>
              <w:left w:val="nil"/>
              <w:bottom w:val="single" w:color="000000" w:sz="4" w:space="0"/>
              <w:right w:val="single" w:color="000000" w:sz="4" w:space="0"/>
            </w:tcBorders>
            <w:shd w:val="clear" w:color="auto" w:fill="FFFFFF"/>
            <w:noWrap/>
            <w:vAlign w:val="center"/>
          </w:tcPr>
          <w:p w14:paraId="42F1318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第1天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A070DA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第2天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BA4475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第3天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851B5D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第4天</w:t>
            </w:r>
          </w:p>
        </w:tc>
        <w:tc>
          <w:tcPr>
            <w:tcW w:w="443" w:type="pct"/>
            <w:tcBorders>
              <w:top w:val="single" w:color="000000" w:sz="4" w:space="0"/>
              <w:left w:val="nil"/>
              <w:bottom w:val="single" w:color="000000" w:sz="4" w:space="0"/>
              <w:right w:val="single" w:color="000000" w:sz="4" w:space="0"/>
            </w:tcBorders>
            <w:shd w:val="clear" w:color="auto" w:fill="FFFFFF"/>
            <w:noWrap/>
            <w:vAlign w:val="center"/>
          </w:tcPr>
          <w:p w14:paraId="61BAB04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第5天</w:t>
            </w:r>
          </w:p>
        </w:tc>
      </w:tr>
      <w:tr w14:paraId="03FF000E">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87B7E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第一次测量结果</w:t>
            </w:r>
          </w:p>
        </w:tc>
        <w:tc>
          <w:tcPr>
            <w:tcW w:w="439" w:type="pct"/>
            <w:tcBorders>
              <w:top w:val="single" w:color="000000" w:sz="4" w:space="0"/>
              <w:left w:val="nil"/>
              <w:bottom w:val="single" w:color="000000" w:sz="4" w:space="0"/>
              <w:right w:val="single" w:color="000000" w:sz="4" w:space="0"/>
            </w:tcBorders>
            <w:noWrap/>
            <w:vAlign w:val="center"/>
          </w:tcPr>
          <w:p w14:paraId="2FA6E14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w:t>
            </w:r>
          </w:p>
        </w:tc>
        <w:tc>
          <w:tcPr>
            <w:tcW w:w="439" w:type="pct"/>
            <w:tcBorders>
              <w:top w:val="single" w:color="000000" w:sz="4" w:space="0"/>
              <w:left w:val="nil"/>
              <w:bottom w:val="single" w:color="000000" w:sz="4" w:space="0"/>
              <w:right w:val="single" w:color="000000" w:sz="4" w:space="0"/>
            </w:tcBorders>
            <w:noWrap/>
            <w:vAlign w:val="center"/>
          </w:tcPr>
          <w:p w14:paraId="301E0C4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13.5</w:t>
            </w:r>
          </w:p>
        </w:tc>
        <w:tc>
          <w:tcPr>
            <w:tcW w:w="439" w:type="pct"/>
            <w:tcBorders>
              <w:top w:val="single" w:color="000000" w:sz="4" w:space="0"/>
              <w:left w:val="nil"/>
              <w:bottom w:val="single" w:color="000000" w:sz="4" w:space="0"/>
              <w:right w:val="single" w:color="000000" w:sz="4" w:space="0"/>
            </w:tcBorders>
            <w:noWrap/>
            <w:vAlign w:val="center"/>
          </w:tcPr>
          <w:p w14:paraId="0BCA00A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13.6</w:t>
            </w:r>
          </w:p>
        </w:tc>
        <w:tc>
          <w:tcPr>
            <w:tcW w:w="439" w:type="pct"/>
            <w:tcBorders>
              <w:top w:val="single" w:color="000000" w:sz="4" w:space="0"/>
              <w:left w:val="nil"/>
              <w:bottom w:val="single" w:color="000000" w:sz="4" w:space="0"/>
              <w:right w:val="single" w:color="000000" w:sz="4" w:space="0"/>
            </w:tcBorders>
            <w:noWrap/>
            <w:vAlign w:val="center"/>
          </w:tcPr>
          <w:p w14:paraId="5F888A2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13.8</w:t>
            </w:r>
          </w:p>
        </w:tc>
        <w:tc>
          <w:tcPr>
            <w:tcW w:w="439" w:type="pct"/>
            <w:tcBorders>
              <w:top w:val="single" w:color="000000" w:sz="4" w:space="0"/>
              <w:left w:val="nil"/>
              <w:bottom w:val="single" w:color="000000" w:sz="4" w:space="0"/>
              <w:right w:val="single" w:color="000000" w:sz="4" w:space="0"/>
            </w:tcBorders>
            <w:noWrap/>
            <w:vAlign w:val="center"/>
          </w:tcPr>
          <w:p w14:paraId="1428881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13.6</w:t>
            </w:r>
          </w:p>
        </w:tc>
        <w:tc>
          <w:tcPr>
            <w:tcW w:w="439" w:type="pct"/>
            <w:gridSpan w:val="2"/>
            <w:tcBorders>
              <w:top w:val="single" w:color="000000" w:sz="4" w:space="0"/>
              <w:left w:val="nil"/>
              <w:bottom w:val="single" w:color="000000" w:sz="4" w:space="0"/>
              <w:right w:val="single" w:color="000000" w:sz="4" w:space="0"/>
            </w:tcBorders>
            <w:noWrap/>
            <w:vAlign w:val="center"/>
          </w:tcPr>
          <w:p w14:paraId="71FA456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77.7</w:t>
            </w:r>
          </w:p>
        </w:tc>
        <w:tc>
          <w:tcPr>
            <w:tcW w:w="439" w:type="pct"/>
            <w:tcBorders>
              <w:top w:val="single" w:color="000000" w:sz="4" w:space="0"/>
              <w:left w:val="nil"/>
              <w:bottom w:val="single" w:color="000000" w:sz="4" w:space="0"/>
              <w:right w:val="single" w:color="000000" w:sz="4" w:space="0"/>
            </w:tcBorders>
            <w:noWrap/>
            <w:vAlign w:val="center"/>
          </w:tcPr>
          <w:p w14:paraId="29457934">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77.9</w:t>
            </w:r>
          </w:p>
        </w:tc>
        <w:tc>
          <w:tcPr>
            <w:tcW w:w="439" w:type="pct"/>
            <w:tcBorders>
              <w:top w:val="single" w:color="000000" w:sz="4" w:space="0"/>
              <w:left w:val="nil"/>
              <w:bottom w:val="single" w:color="000000" w:sz="4" w:space="0"/>
              <w:right w:val="single" w:color="000000" w:sz="4" w:space="0"/>
            </w:tcBorders>
            <w:noWrap/>
            <w:vAlign w:val="center"/>
          </w:tcPr>
          <w:p w14:paraId="6947923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79.1</w:t>
            </w:r>
          </w:p>
        </w:tc>
        <w:tc>
          <w:tcPr>
            <w:tcW w:w="439" w:type="pct"/>
            <w:tcBorders>
              <w:top w:val="single" w:color="000000" w:sz="4" w:space="0"/>
              <w:left w:val="nil"/>
              <w:bottom w:val="single" w:color="000000" w:sz="4" w:space="0"/>
              <w:right w:val="single" w:color="000000" w:sz="4" w:space="0"/>
            </w:tcBorders>
            <w:noWrap/>
            <w:vAlign w:val="center"/>
          </w:tcPr>
          <w:p w14:paraId="79C1F98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79.2</w:t>
            </w:r>
          </w:p>
        </w:tc>
        <w:tc>
          <w:tcPr>
            <w:tcW w:w="443" w:type="pct"/>
            <w:tcBorders>
              <w:top w:val="single" w:color="000000" w:sz="4" w:space="0"/>
              <w:left w:val="nil"/>
              <w:bottom w:val="single" w:color="000000" w:sz="4" w:space="0"/>
              <w:right w:val="single" w:color="000000" w:sz="4" w:space="0"/>
            </w:tcBorders>
            <w:noWrap/>
            <w:vAlign w:val="center"/>
          </w:tcPr>
          <w:p w14:paraId="218EF2A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w:t>
            </w:r>
          </w:p>
        </w:tc>
      </w:tr>
      <w:tr w14:paraId="072A0D24">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B1CC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第二次测量结果</w:t>
            </w:r>
          </w:p>
        </w:tc>
        <w:tc>
          <w:tcPr>
            <w:tcW w:w="439" w:type="pct"/>
            <w:tcBorders>
              <w:top w:val="single" w:color="000000" w:sz="4" w:space="0"/>
              <w:left w:val="nil"/>
              <w:bottom w:val="single" w:color="000000" w:sz="4" w:space="0"/>
              <w:right w:val="single" w:color="000000" w:sz="4" w:space="0"/>
            </w:tcBorders>
            <w:noWrap/>
            <w:vAlign w:val="center"/>
          </w:tcPr>
          <w:p w14:paraId="07F8E26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13.4</w:t>
            </w:r>
          </w:p>
        </w:tc>
        <w:tc>
          <w:tcPr>
            <w:tcW w:w="439" w:type="pct"/>
            <w:tcBorders>
              <w:top w:val="single" w:color="000000" w:sz="4" w:space="0"/>
              <w:left w:val="nil"/>
              <w:bottom w:val="single" w:color="000000" w:sz="4" w:space="0"/>
              <w:right w:val="single" w:color="000000" w:sz="4" w:space="0"/>
            </w:tcBorders>
            <w:noWrap/>
            <w:vAlign w:val="center"/>
          </w:tcPr>
          <w:p w14:paraId="72113C43">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13.7</w:t>
            </w:r>
          </w:p>
        </w:tc>
        <w:tc>
          <w:tcPr>
            <w:tcW w:w="439" w:type="pct"/>
            <w:tcBorders>
              <w:top w:val="single" w:color="000000" w:sz="4" w:space="0"/>
              <w:left w:val="nil"/>
              <w:bottom w:val="single" w:color="000000" w:sz="4" w:space="0"/>
              <w:right w:val="single" w:color="000000" w:sz="4" w:space="0"/>
            </w:tcBorders>
            <w:noWrap/>
            <w:vAlign w:val="center"/>
          </w:tcPr>
          <w:p w14:paraId="1A41C9C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13.6</w:t>
            </w:r>
          </w:p>
        </w:tc>
        <w:tc>
          <w:tcPr>
            <w:tcW w:w="439" w:type="pct"/>
            <w:tcBorders>
              <w:top w:val="single" w:color="000000" w:sz="4" w:space="0"/>
              <w:left w:val="nil"/>
              <w:bottom w:val="single" w:color="000000" w:sz="4" w:space="0"/>
              <w:right w:val="single" w:color="000000" w:sz="4" w:space="0"/>
            </w:tcBorders>
            <w:noWrap/>
            <w:vAlign w:val="center"/>
          </w:tcPr>
          <w:p w14:paraId="68E7BA3A">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13.6</w:t>
            </w:r>
          </w:p>
        </w:tc>
        <w:tc>
          <w:tcPr>
            <w:tcW w:w="439" w:type="pct"/>
            <w:tcBorders>
              <w:top w:val="single" w:color="000000" w:sz="4" w:space="0"/>
              <w:left w:val="nil"/>
              <w:bottom w:val="single" w:color="000000" w:sz="4" w:space="0"/>
              <w:right w:val="single" w:color="000000" w:sz="4" w:space="0"/>
            </w:tcBorders>
            <w:noWrap/>
            <w:vAlign w:val="center"/>
          </w:tcPr>
          <w:p w14:paraId="1CE02D7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13.6</w:t>
            </w:r>
          </w:p>
        </w:tc>
        <w:tc>
          <w:tcPr>
            <w:tcW w:w="439" w:type="pct"/>
            <w:gridSpan w:val="2"/>
            <w:tcBorders>
              <w:top w:val="single" w:color="000000" w:sz="4" w:space="0"/>
              <w:left w:val="nil"/>
              <w:bottom w:val="single" w:color="000000" w:sz="4" w:space="0"/>
              <w:right w:val="single" w:color="000000" w:sz="4" w:space="0"/>
            </w:tcBorders>
            <w:noWrap/>
            <w:vAlign w:val="center"/>
          </w:tcPr>
          <w:p w14:paraId="5F3D2BB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76.8</w:t>
            </w:r>
          </w:p>
        </w:tc>
        <w:tc>
          <w:tcPr>
            <w:tcW w:w="439" w:type="pct"/>
            <w:tcBorders>
              <w:top w:val="single" w:color="000000" w:sz="4" w:space="0"/>
              <w:left w:val="nil"/>
              <w:bottom w:val="single" w:color="000000" w:sz="4" w:space="0"/>
              <w:right w:val="single" w:color="000000" w:sz="4" w:space="0"/>
            </w:tcBorders>
            <w:noWrap/>
            <w:vAlign w:val="center"/>
          </w:tcPr>
          <w:p w14:paraId="48C3AEA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76.4</w:t>
            </w:r>
          </w:p>
        </w:tc>
        <w:tc>
          <w:tcPr>
            <w:tcW w:w="439" w:type="pct"/>
            <w:tcBorders>
              <w:top w:val="single" w:color="000000" w:sz="4" w:space="0"/>
              <w:left w:val="nil"/>
              <w:bottom w:val="single" w:color="000000" w:sz="4" w:space="0"/>
              <w:right w:val="single" w:color="000000" w:sz="4" w:space="0"/>
            </w:tcBorders>
            <w:noWrap/>
            <w:vAlign w:val="center"/>
          </w:tcPr>
          <w:p w14:paraId="161010F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78.2</w:t>
            </w:r>
          </w:p>
        </w:tc>
        <w:tc>
          <w:tcPr>
            <w:tcW w:w="439" w:type="pct"/>
            <w:tcBorders>
              <w:top w:val="single" w:color="000000" w:sz="4" w:space="0"/>
              <w:left w:val="nil"/>
              <w:bottom w:val="single" w:color="000000" w:sz="4" w:space="0"/>
              <w:right w:val="single" w:color="000000" w:sz="4" w:space="0"/>
            </w:tcBorders>
            <w:noWrap/>
            <w:vAlign w:val="center"/>
          </w:tcPr>
          <w:p w14:paraId="0167947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78.8</w:t>
            </w:r>
          </w:p>
        </w:tc>
        <w:tc>
          <w:tcPr>
            <w:tcW w:w="443" w:type="pct"/>
            <w:tcBorders>
              <w:top w:val="single" w:color="000000" w:sz="4" w:space="0"/>
              <w:left w:val="nil"/>
              <w:bottom w:val="single" w:color="000000" w:sz="4" w:space="0"/>
              <w:right w:val="single" w:color="000000" w:sz="4" w:space="0"/>
            </w:tcBorders>
            <w:noWrap/>
            <w:vAlign w:val="center"/>
          </w:tcPr>
          <w:p w14:paraId="7DB7970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78.2</w:t>
            </w:r>
          </w:p>
        </w:tc>
      </w:tr>
      <w:tr w14:paraId="3036E906">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6C7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第三次测量结果</w:t>
            </w:r>
          </w:p>
        </w:tc>
        <w:tc>
          <w:tcPr>
            <w:tcW w:w="439" w:type="pct"/>
            <w:tcBorders>
              <w:top w:val="single" w:color="000000" w:sz="4" w:space="0"/>
              <w:left w:val="nil"/>
              <w:bottom w:val="single" w:color="000000" w:sz="4" w:space="0"/>
              <w:right w:val="single" w:color="000000" w:sz="4" w:space="0"/>
            </w:tcBorders>
            <w:noWrap/>
            <w:vAlign w:val="center"/>
          </w:tcPr>
          <w:p w14:paraId="7D4F985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13.2</w:t>
            </w:r>
          </w:p>
        </w:tc>
        <w:tc>
          <w:tcPr>
            <w:tcW w:w="439" w:type="pct"/>
            <w:tcBorders>
              <w:top w:val="single" w:color="000000" w:sz="4" w:space="0"/>
              <w:left w:val="nil"/>
              <w:bottom w:val="single" w:color="000000" w:sz="4" w:space="0"/>
              <w:right w:val="single" w:color="000000" w:sz="4" w:space="0"/>
            </w:tcBorders>
            <w:noWrap/>
            <w:vAlign w:val="center"/>
          </w:tcPr>
          <w:p w14:paraId="719502D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13.8</w:t>
            </w:r>
          </w:p>
        </w:tc>
        <w:tc>
          <w:tcPr>
            <w:tcW w:w="439" w:type="pct"/>
            <w:tcBorders>
              <w:top w:val="single" w:color="000000" w:sz="4" w:space="0"/>
              <w:left w:val="nil"/>
              <w:bottom w:val="single" w:color="000000" w:sz="4" w:space="0"/>
              <w:right w:val="single" w:color="000000" w:sz="4" w:space="0"/>
            </w:tcBorders>
            <w:noWrap/>
            <w:vAlign w:val="center"/>
          </w:tcPr>
          <w:p w14:paraId="7C9A26C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13.8</w:t>
            </w:r>
          </w:p>
        </w:tc>
        <w:tc>
          <w:tcPr>
            <w:tcW w:w="439" w:type="pct"/>
            <w:tcBorders>
              <w:top w:val="single" w:color="000000" w:sz="4" w:space="0"/>
              <w:left w:val="nil"/>
              <w:bottom w:val="single" w:color="000000" w:sz="4" w:space="0"/>
              <w:right w:val="single" w:color="000000" w:sz="4" w:space="0"/>
            </w:tcBorders>
            <w:noWrap/>
            <w:vAlign w:val="center"/>
          </w:tcPr>
          <w:p w14:paraId="40CF71B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13.4</w:t>
            </w:r>
          </w:p>
        </w:tc>
        <w:tc>
          <w:tcPr>
            <w:tcW w:w="439" w:type="pct"/>
            <w:tcBorders>
              <w:top w:val="single" w:color="000000" w:sz="4" w:space="0"/>
              <w:left w:val="nil"/>
              <w:bottom w:val="single" w:color="000000" w:sz="4" w:space="0"/>
              <w:right w:val="single" w:color="000000" w:sz="4" w:space="0"/>
            </w:tcBorders>
            <w:noWrap/>
            <w:vAlign w:val="center"/>
          </w:tcPr>
          <w:p w14:paraId="714990CE">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13.5</w:t>
            </w:r>
          </w:p>
        </w:tc>
        <w:tc>
          <w:tcPr>
            <w:tcW w:w="439" w:type="pct"/>
            <w:gridSpan w:val="2"/>
            <w:tcBorders>
              <w:top w:val="single" w:color="000000" w:sz="4" w:space="0"/>
              <w:left w:val="nil"/>
              <w:bottom w:val="single" w:color="000000" w:sz="4" w:space="0"/>
              <w:right w:val="single" w:color="000000" w:sz="4" w:space="0"/>
            </w:tcBorders>
            <w:noWrap/>
            <w:vAlign w:val="center"/>
          </w:tcPr>
          <w:p w14:paraId="2E451231">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74.6</w:t>
            </w:r>
          </w:p>
        </w:tc>
        <w:tc>
          <w:tcPr>
            <w:tcW w:w="439" w:type="pct"/>
            <w:tcBorders>
              <w:top w:val="single" w:color="000000" w:sz="4" w:space="0"/>
              <w:left w:val="nil"/>
              <w:bottom w:val="single" w:color="000000" w:sz="4" w:space="0"/>
              <w:right w:val="single" w:color="000000" w:sz="4" w:space="0"/>
            </w:tcBorders>
            <w:noWrap/>
            <w:vAlign w:val="center"/>
          </w:tcPr>
          <w:p w14:paraId="2AD7B63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75.7</w:t>
            </w:r>
          </w:p>
        </w:tc>
        <w:tc>
          <w:tcPr>
            <w:tcW w:w="439" w:type="pct"/>
            <w:tcBorders>
              <w:top w:val="single" w:color="000000" w:sz="4" w:space="0"/>
              <w:left w:val="nil"/>
              <w:bottom w:val="single" w:color="000000" w:sz="4" w:space="0"/>
              <w:right w:val="single" w:color="000000" w:sz="4" w:space="0"/>
            </w:tcBorders>
            <w:noWrap/>
            <w:vAlign w:val="center"/>
          </w:tcPr>
          <w:p w14:paraId="30775D9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78.4</w:t>
            </w:r>
          </w:p>
        </w:tc>
        <w:tc>
          <w:tcPr>
            <w:tcW w:w="439" w:type="pct"/>
            <w:tcBorders>
              <w:top w:val="single" w:color="000000" w:sz="4" w:space="0"/>
              <w:left w:val="nil"/>
              <w:bottom w:val="single" w:color="000000" w:sz="4" w:space="0"/>
              <w:right w:val="single" w:color="000000" w:sz="4" w:space="0"/>
            </w:tcBorders>
            <w:noWrap/>
            <w:vAlign w:val="center"/>
          </w:tcPr>
          <w:p w14:paraId="6E4D2C8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78.7</w:t>
            </w:r>
          </w:p>
        </w:tc>
        <w:tc>
          <w:tcPr>
            <w:tcW w:w="443" w:type="pct"/>
            <w:tcBorders>
              <w:top w:val="single" w:color="000000" w:sz="4" w:space="0"/>
              <w:left w:val="nil"/>
              <w:bottom w:val="single" w:color="000000" w:sz="4" w:space="0"/>
              <w:right w:val="single" w:color="000000" w:sz="4" w:space="0"/>
            </w:tcBorders>
            <w:noWrap/>
            <w:vAlign w:val="center"/>
          </w:tcPr>
          <w:p w14:paraId="21B1773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77.8</w:t>
            </w:r>
          </w:p>
        </w:tc>
      </w:tr>
      <w:tr w14:paraId="7F5B1B13">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964A9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批均值：</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1B79024">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13.20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6A218B6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13.67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3ED852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13.67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6A18D186">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13.60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52AE4A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13.57 </w:t>
            </w:r>
          </w:p>
        </w:tc>
        <w:tc>
          <w:tcPr>
            <w:tcW w:w="439" w:type="pct"/>
            <w:gridSpan w:val="2"/>
            <w:tcBorders>
              <w:top w:val="single" w:color="000000" w:sz="4" w:space="0"/>
              <w:left w:val="nil"/>
              <w:bottom w:val="single" w:color="000000" w:sz="4" w:space="0"/>
              <w:right w:val="single" w:color="000000" w:sz="4" w:space="0"/>
            </w:tcBorders>
            <w:shd w:val="clear" w:color="auto" w:fill="FFFFFF"/>
            <w:noWrap/>
            <w:vAlign w:val="center"/>
          </w:tcPr>
          <w:p w14:paraId="6992FF3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76.37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47558FF6">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76.67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880A5F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78.57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A6AAC4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78.90 </w:t>
            </w:r>
          </w:p>
        </w:tc>
        <w:tc>
          <w:tcPr>
            <w:tcW w:w="443" w:type="pct"/>
            <w:tcBorders>
              <w:top w:val="single" w:color="000000" w:sz="4" w:space="0"/>
              <w:left w:val="nil"/>
              <w:bottom w:val="single" w:color="000000" w:sz="4" w:space="0"/>
              <w:right w:val="single" w:color="000000" w:sz="4" w:space="0"/>
            </w:tcBorders>
            <w:shd w:val="clear" w:color="auto" w:fill="FFFFFF"/>
            <w:noWrap/>
            <w:vAlign w:val="center"/>
          </w:tcPr>
          <w:p w14:paraId="2960BDB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78.00 </w:t>
            </w:r>
          </w:p>
        </w:tc>
      </w:tr>
      <w:tr w14:paraId="49728B62">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2AA2E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批标准差</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FB98E8E">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0.20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7C9EAE5B">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0.15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6E93D1EA">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0.12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7E8FDC3">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0.20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05BF02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0.06 </w:t>
            </w:r>
          </w:p>
        </w:tc>
        <w:tc>
          <w:tcPr>
            <w:tcW w:w="439" w:type="pct"/>
            <w:gridSpan w:val="2"/>
            <w:tcBorders>
              <w:top w:val="single" w:color="000000" w:sz="4" w:space="0"/>
              <w:left w:val="nil"/>
              <w:bottom w:val="single" w:color="000000" w:sz="4" w:space="0"/>
              <w:right w:val="single" w:color="000000" w:sz="4" w:space="0"/>
            </w:tcBorders>
            <w:shd w:val="clear" w:color="auto" w:fill="FFFFFF"/>
            <w:noWrap/>
            <w:vAlign w:val="center"/>
          </w:tcPr>
          <w:p w14:paraId="621867C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1.59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D52EB54">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1.12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11AE52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0.47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FD6221A">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0.26 </w:t>
            </w:r>
          </w:p>
        </w:tc>
        <w:tc>
          <w:tcPr>
            <w:tcW w:w="443" w:type="pct"/>
            <w:tcBorders>
              <w:top w:val="single" w:color="000000" w:sz="4" w:space="0"/>
              <w:left w:val="nil"/>
              <w:bottom w:val="single" w:color="000000" w:sz="4" w:space="0"/>
              <w:right w:val="single" w:color="000000" w:sz="4" w:space="0"/>
            </w:tcBorders>
            <w:shd w:val="clear" w:color="auto" w:fill="FFFFFF"/>
            <w:noWrap/>
            <w:vAlign w:val="center"/>
          </w:tcPr>
          <w:p w14:paraId="24E6E88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0.20 </w:t>
            </w:r>
          </w:p>
        </w:tc>
      </w:tr>
      <w:tr w14:paraId="51AD18AD">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5A055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方差</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7A8CCE06">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0.04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6C8A51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0.02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A71D57E">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0.01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C182BD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0.04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6560A7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0.00 </w:t>
            </w:r>
          </w:p>
        </w:tc>
        <w:tc>
          <w:tcPr>
            <w:tcW w:w="439" w:type="pct"/>
            <w:gridSpan w:val="2"/>
            <w:tcBorders>
              <w:top w:val="single" w:color="000000" w:sz="4" w:space="0"/>
              <w:left w:val="nil"/>
              <w:bottom w:val="single" w:color="000000" w:sz="4" w:space="0"/>
              <w:right w:val="single" w:color="000000" w:sz="4" w:space="0"/>
            </w:tcBorders>
            <w:shd w:val="clear" w:color="auto" w:fill="FFFFFF"/>
            <w:noWrap/>
            <w:vAlign w:val="center"/>
          </w:tcPr>
          <w:p w14:paraId="4DDBE4F3">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2.54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7EB0BD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1.26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F319DC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0.22 </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D7ECC5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0.07 </w:t>
            </w:r>
          </w:p>
        </w:tc>
        <w:tc>
          <w:tcPr>
            <w:tcW w:w="443" w:type="pct"/>
            <w:tcBorders>
              <w:top w:val="single" w:color="000000" w:sz="4" w:space="0"/>
              <w:left w:val="nil"/>
              <w:bottom w:val="single" w:color="000000" w:sz="4" w:space="0"/>
              <w:right w:val="single" w:color="000000" w:sz="4" w:space="0"/>
            </w:tcBorders>
            <w:shd w:val="clear" w:color="auto" w:fill="FFFFFF"/>
            <w:noWrap/>
            <w:vAlign w:val="center"/>
          </w:tcPr>
          <w:p w14:paraId="5472C2EE">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0.04 </w:t>
            </w:r>
          </w:p>
        </w:tc>
      </w:tr>
      <w:tr w14:paraId="2E2BE852">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98741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总均值</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0BABA9D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13.540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539FA28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77.700 </w:t>
            </w:r>
          </w:p>
        </w:tc>
      </w:tr>
      <w:tr w14:paraId="464EE6AB">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7C573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批内方差Vr</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6E2BF456">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0.024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2749690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0.828 </w:t>
            </w:r>
          </w:p>
        </w:tc>
      </w:tr>
      <w:tr w14:paraId="71D4CCE5">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F3FF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批内标准差Sr</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3AA32865">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0.155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20518129">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0.910 </w:t>
            </w:r>
          </w:p>
        </w:tc>
      </w:tr>
      <w:tr w14:paraId="089DC420">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C566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批间标准差Sb</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2EFCF92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0.195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39EE5E2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1.132 </w:t>
            </w:r>
          </w:p>
        </w:tc>
      </w:tr>
      <w:tr w14:paraId="6ED1D9B0">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79B2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批间方差Vb</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02C49F0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0.038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4C15790E">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1.282 </w:t>
            </w:r>
          </w:p>
        </w:tc>
      </w:tr>
      <w:tr w14:paraId="318DC238">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99305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Vr/Vb比值</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26E0801B">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0.632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0D9F4103">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0.646 </w:t>
            </w:r>
          </w:p>
        </w:tc>
      </w:tr>
      <w:tr w14:paraId="7A112A6E">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60A5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总方差</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64C0B4B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0.054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4FE0B1C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sz w:val="20"/>
                <w:szCs w:val="20"/>
              </w:rPr>
              <w:t xml:space="preserve">1.834 </w:t>
            </w:r>
          </w:p>
        </w:tc>
      </w:tr>
      <w:tr w14:paraId="0B18D221">
        <w:tblPrEx>
          <w:tblCellMar>
            <w:top w:w="0" w:type="dxa"/>
            <w:left w:w="108" w:type="dxa"/>
            <w:bottom w:w="0" w:type="dxa"/>
            <w:right w:w="108" w:type="dxa"/>
          </w:tblCellMar>
        </w:tblPrEx>
        <w:trPr>
          <w:trHeight w:val="565"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95C9E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实验室内标准差S1</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30706EA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 xml:space="preserve">0.232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6450CEC2">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 xml:space="preserve">1.354 </w:t>
            </w:r>
          </w:p>
        </w:tc>
      </w:tr>
      <w:tr w14:paraId="26EB0CB0">
        <w:tblPrEx>
          <w:tblCellMar>
            <w:top w:w="0" w:type="dxa"/>
            <w:left w:w="108" w:type="dxa"/>
            <w:bottom w:w="0" w:type="dxa"/>
            <w:right w:w="108" w:type="dxa"/>
          </w:tblCellMar>
        </w:tblPrEx>
        <w:trPr>
          <w:trHeight w:val="522"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41F3C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实验室变异系数</w:t>
            </w:r>
          </w:p>
        </w:tc>
        <w:tc>
          <w:tcPr>
            <w:tcW w:w="2200" w:type="pct"/>
            <w:gridSpan w:val="6"/>
            <w:tcBorders>
              <w:top w:val="single" w:color="000000" w:sz="4" w:space="0"/>
              <w:left w:val="nil"/>
              <w:bottom w:val="single" w:color="000000" w:sz="4" w:space="0"/>
              <w:right w:val="single" w:color="000000" w:sz="4" w:space="0"/>
            </w:tcBorders>
            <w:shd w:val="clear" w:color="auto" w:fill="FFFFFF"/>
            <w:noWrap/>
            <w:vAlign w:val="center"/>
          </w:tcPr>
          <w:p w14:paraId="47333267">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 xml:space="preserve">1.716 </w:t>
            </w:r>
          </w:p>
        </w:tc>
        <w:tc>
          <w:tcPr>
            <w:tcW w:w="2200" w:type="pct"/>
            <w:gridSpan w:val="5"/>
            <w:tcBorders>
              <w:top w:val="single" w:color="000000" w:sz="4" w:space="0"/>
              <w:left w:val="nil"/>
              <w:bottom w:val="single" w:color="000000" w:sz="4" w:space="0"/>
              <w:right w:val="single" w:color="000000" w:sz="4" w:space="0"/>
            </w:tcBorders>
            <w:shd w:val="clear" w:color="auto" w:fill="FFFFFF"/>
            <w:noWrap/>
            <w:vAlign w:val="center"/>
          </w:tcPr>
          <w:p w14:paraId="122169F8">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 xml:space="preserve">1.743 </w:t>
            </w:r>
          </w:p>
        </w:tc>
      </w:tr>
    </w:tbl>
    <w:p w14:paraId="66ECF8E8">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lang w:eastAsia="zh-CN"/>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表1</w:t>
      </w:r>
      <w:r>
        <w:rPr>
          <w:rFonts w:hint="eastAsia" w:ascii="仿宋_GB2312" w:eastAsia="仿宋_GB2312"/>
          <w:color w:val="000000" w:themeColor="text1"/>
          <w:sz w:val="22"/>
          <w:szCs w:val="22"/>
          <w:lang w:val="en-US" w:eastAsia="zh-CN"/>
          <w14:textFill>
            <w14:solidFill>
              <w14:schemeClr w14:val="tx1"/>
            </w14:solidFill>
          </w14:textFill>
        </w:rPr>
        <w:t>.2</w:t>
      </w:r>
      <w:r>
        <w:rPr>
          <w:rFonts w:hint="eastAsia" w:ascii="仿宋_GB2312" w:eastAsia="仿宋_GB2312"/>
          <w:color w:val="000000" w:themeColor="text1"/>
          <w:sz w:val="22"/>
          <w:szCs w:val="22"/>
          <w14:textFill>
            <w14:solidFill>
              <w14:schemeClr w14:val="tx1"/>
            </w14:solidFill>
          </w14:textFill>
        </w:rPr>
        <w:t xml:space="preserve">  精密度验证数据</w:t>
      </w:r>
      <w:r>
        <w:rPr>
          <w:rFonts w:hint="eastAsia" w:ascii="仿宋_GB2312" w:eastAsia="仿宋_GB2312"/>
          <w:color w:val="000000" w:themeColor="text1"/>
          <w:sz w:val="22"/>
          <w:szCs w:val="22"/>
          <w:lang w:eastAsia="zh-CN"/>
          <w14:textFill>
            <w14:solidFill>
              <w14:schemeClr w14:val="tx1"/>
            </w14:solidFill>
          </w14:textFill>
        </w:rPr>
        <w:t>（</w:t>
      </w:r>
      <w:r>
        <w:rPr>
          <w:rFonts w:hint="eastAsia" w:ascii="仿宋_GB2312" w:eastAsia="仿宋_GB2312"/>
          <w:color w:val="000000" w:themeColor="text1"/>
          <w:sz w:val="22"/>
          <w:szCs w:val="22"/>
          <w:lang w:val="en-US" w:eastAsia="zh-CN"/>
          <w14:textFill>
            <w14:solidFill>
              <w14:schemeClr w14:val="tx1"/>
            </w14:solidFill>
          </w14:textFill>
        </w:rPr>
        <w:t>水平3、4</w:t>
      </w:r>
      <w:r>
        <w:rPr>
          <w:rFonts w:hint="eastAsia" w:ascii="仿宋_GB2312" w:eastAsia="仿宋_GB2312"/>
          <w:color w:val="000000" w:themeColor="text1"/>
          <w:sz w:val="22"/>
          <w:szCs w:val="22"/>
          <w:lang w:eastAsia="zh-CN"/>
          <w14:textFill>
            <w14:solidFill>
              <w14:schemeClr w14:val="tx1"/>
            </w14:solidFill>
          </w14:textFill>
        </w:rPr>
        <w:t>）</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5"/>
        <w:gridCol w:w="815"/>
        <w:gridCol w:w="816"/>
        <w:gridCol w:w="816"/>
        <w:gridCol w:w="816"/>
        <w:gridCol w:w="816"/>
        <w:gridCol w:w="816"/>
        <w:gridCol w:w="816"/>
        <w:gridCol w:w="816"/>
        <w:gridCol w:w="816"/>
        <w:gridCol w:w="816"/>
      </w:tblGrid>
      <w:tr w14:paraId="0E6F9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44F6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试验结果</w:t>
            </w:r>
          </w:p>
        </w:tc>
      </w:tr>
      <w:tr w14:paraId="53DD4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6CCA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质控品</w:t>
            </w:r>
          </w:p>
          <w:p w14:paraId="5464082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水平</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B6BB3">
            <w:pPr>
              <w:widowControl/>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Level 3</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237770">
            <w:pPr>
              <w:widowControl/>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Level 4</w:t>
            </w:r>
          </w:p>
        </w:tc>
      </w:tr>
      <w:tr w14:paraId="30C37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4584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测试批次</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DFC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第1天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5BB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第2天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395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第3天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79EB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第4天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6E0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第5天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478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第1天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E3E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第2天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0CED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第3天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E60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第4天</w:t>
            </w:r>
          </w:p>
        </w:tc>
        <w:tc>
          <w:tcPr>
            <w:tcW w:w="4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FA2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第5天</w:t>
            </w:r>
          </w:p>
        </w:tc>
      </w:tr>
      <w:tr w14:paraId="4E220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04D8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第一次测量结果</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F99E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9.2</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C7E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9.7</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ECE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7E3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9.3</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4C20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9.2</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1405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52.4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D996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53.3</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D86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51.6</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9B8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51.3</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17DE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50.5</w:t>
            </w:r>
          </w:p>
        </w:tc>
      </w:tr>
      <w:tr w14:paraId="180CA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29DA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第二次测量结果</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8BF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9.7</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0F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9.7</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1CBF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9.4</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41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9.2</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028E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9.5</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52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49.9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5D84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53.3</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94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50.1</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7008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50.9</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A7E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50.9</w:t>
            </w:r>
          </w:p>
        </w:tc>
      </w:tr>
      <w:tr w14:paraId="6A629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81A4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第三次测量结果</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B2E2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10.1</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50F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A96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C8F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66F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9.8</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B9AF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50.9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951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52.9</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0A4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52.1</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10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51.4</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2BE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51</w:t>
            </w:r>
          </w:p>
        </w:tc>
      </w:tr>
      <w:tr w14:paraId="66C2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9E80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批均值：</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3B1B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9.67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8C9F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9.77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674D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9.57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1C65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9.47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C6A6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9.50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FFBC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51.07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739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53.17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34E7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51.27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4D67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51.20 </w:t>
            </w:r>
          </w:p>
        </w:tc>
        <w:tc>
          <w:tcPr>
            <w:tcW w:w="4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20E7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50.80 </w:t>
            </w:r>
          </w:p>
        </w:tc>
      </w:tr>
      <w:tr w14:paraId="69D29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BF5F7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批标准差</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7A02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0.45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C4EC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0.12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6CE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0.21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5BEB0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0.38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A507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0.30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E5794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1.26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A90C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0.23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D15B1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1.04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194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0.26 </w:t>
            </w:r>
          </w:p>
        </w:tc>
        <w:tc>
          <w:tcPr>
            <w:tcW w:w="4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DA23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0.26 </w:t>
            </w:r>
          </w:p>
        </w:tc>
      </w:tr>
      <w:tr w14:paraId="6A9C6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0A2D5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方差</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86C72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0.20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41755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714F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0.04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1BA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0.14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661B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0.09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58F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1.58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FB26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0.05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BC75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1.08 </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805E7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0.07 </w:t>
            </w:r>
          </w:p>
        </w:tc>
        <w:tc>
          <w:tcPr>
            <w:tcW w:w="4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ECBD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0.07 </w:t>
            </w:r>
          </w:p>
        </w:tc>
      </w:tr>
      <w:tr w14:paraId="260B9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0D11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总均值</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ACD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9.593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67D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51.500 </w:t>
            </w:r>
          </w:p>
        </w:tc>
      </w:tr>
      <w:tr w14:paraId="2E2D9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7D2F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批内方差Vr</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CD7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0.099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336A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0.572 </w:t>
            </w:r>
          </w:p>
        </w:tc>
      </w:tr>
      <w:tr w14:paraId="1751E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A3248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批内标准差Sr</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5A4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0.314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ED4D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0.756 </w:t>
            </w:r>
          </w:p>
        </w:tc>
      </w:tr>
      <w:tr w14:paraId="5ADC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6EE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批间标准差Sb</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9506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0.123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C5C4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0.949 </w:t>
            </w:r>
          </w:p>
        </w:tc>
      </w:tr>
      <w:tr w14:paraId="5C923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CB7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批间方差Vb</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BB7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0.015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8BE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0.900 </w:t>
            </w:r>
          </w:p>
        </w:tc>
      </w:tr>
      <w:tr w14:paraId="301EE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3D56B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Vr/Vb比值</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913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6.482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576D6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0.636 </w:t>
            </w:r>
          </w:p>
        </w:tc>
      </w:tr>
      <w:tr w14:paraId="490510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52D42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总方差</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3B40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0.081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060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1.281 </w:t>
            </w:r>
          </w:p>
        </w:tc>
      </w:tr>
      <w:tr w14:paraId="5537C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5683C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实验室内标准差S1</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A50C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0.285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758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1.132 </w:t>
            </w:r>
          </w:p>
        </w:tc>
      </w:tr>
      <w:tr w14:paraId="70916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113B4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实验室变异系数</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98A9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2.967 </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FD0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2.198 </w:t>
            </w:r>
          </w:p>
        </w:tc>
      </w:tr>
    </w:tbl>
    <w:p w14:paraId="6D7B4423">
      <w:pPr>
        <w:spacing w:line="520" w:lineRule="exact"/>
        <w:ind w:firstLine="640" w:firstLineChars="200"/>
        <w:rPr>
          <w:rFonts w:hint="eastAsia" w:ascii="仿宋_GB2312" w:eastAsia="仿宋_GB2312"/>
          <w:b/>
          <w:bCs/>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w:t>
      </w:r>
      <w:r>
        <w:rPr>
          <w:rFonts w:hint="eastAsia" w:ascii="仿宋_GB2312" w:eastAsia="仿宋_GB2312"/>
          <w:bCs/>
          <w:color w:val="000000" w:themeColor="text1"/>
          <w:sz w:val="32"/>
          <w:szCs w:val="32"/>
          <w14:textFill>
            <w14:solidFill>
              <w14:schemeClr w14:val="tx1"/>
            </w14:solidFill>
          </w14:textFill>
        </w:rPr>
        <w:t>肺炎衣原体IgG</w:t>
      </w:r>
      <w:r>
        <w:rPr>
          <w:rFonts w:hint="eastAsia" w:ascii="仿宋_GB2312" w:eastAsia="仿宋_GB2312"/>
          <w:color w:val="000000" w:themeColor="text1"/>
          <w:sz w:val="32"/>
          <w:szCs w:val="32"/>
          <w14:textFill>
            <w14:solidFill>
              <w14:schemeClr w14:val="tx1"/>
            </w14:solidFill>
          </w14:textFill>
        </w:rPr>
        <w:t>测定试剂盒（化学发光法）</w:t>
      </w:r>
      <w:r>
        <w:rPr>
          <w:rFonts w:hint="eastAsia" w:ascii="仿宋_GB2312" w:eastAsia="仿宋_GB2312"/>
          <w:bCs/>
          <w:color w:val="000000" w:themeColor="text1"/>
          <w:sz w:val="32"/>
          <w:szCs w:val="32"/>
          <w14:textFill>
            <w14:solidFill>
              <w14:schemeClr w14:val="tx1"/>
            </w14:solidFill>
          </w14:textFill>
        </w:rPr>
        <w:t>的</w:t>
      </w:r>
      <w:r>
        <w:rPr>
          <w:rFonts w:hint="eastAsia" w:ascii="仿宋_GB2312" w:eastAsia="仿宋_GB2312"/>
          <w:color w:val="000000" w:themeColor="text1"/>
          <w:sz w:val="32"/>
          <w:szCs w:val="32"/>
          <w14:textFill>
            <w14:solidFill>
              <w14:schemeClr w14:val="tx1"/>
            </w14:solidFill>
          </w14:textFill>
        </w:rPr>
        <w:t>精密度CV为不大于15，实验水平1样本CV为1.716，水平2样本CV为1.743</w:t>
      </w:r>
      <w:r>
        <w:rPr>
          <w:rFonts w:hint="eastAsia" w:ascii="仿宋_GB2312" w:eastAsia="仿宋_GB2312"/>
          <w:color w:val="000000" w:themeColor="text1"/>
          <w:sz w:val="32"/>
          <w:szCs w:val="32"/>
          <w:highlight w:val="none"/>
          <w14:textFill>
            <w14:solidFill>
              <w14:schemeClr w14:val="tx1"/>
            </w14:solidFill>
          </w14:textFill>
        </w:rPr>
        <w:t>，水平</w:t>
      </w:r>
      <w:r>
        <w:rPr>
          <w:rFonts w:hint="eastAsia" w:ascii="仿宋_GB2312" w:eastAsia="仿宋_GB2312"/>
          <w:color w:val="000000" w:themeColor="text1"/>
          <w:sz w:val="32"/>
          <w:szCs w:val="32"/>
          <w:highlight w:val="none"/>
          <w:lang w:val="en-US" w:eastAsia="zh-CN"/>
          <w14:textFill>
            <w14:solidFill>
              <w14:schemeClr w14:val="tx1"/>
            </w14:solidFill>
          </w14:textFill>
        </w:rPr>
        <w:t>3</w:t>
      </w:r>
      <w:r>
        <w:rPr>
          <w:rFonts w:hint="eastAsia" w:ascii="仿宋_GB2312" w:eastAsia="仿宋_GB2312"/>
          <w:color w:val="000000" w:themeColor="text1"/>
          <w:sz w:val="32"/>
          <w:szCs w:val="32"/>
          <w:highlight w:val="none"/>
          <w14:textFill>
            <w14:solidFill>
              <w14:schemeClr w14:val="tx1"/>
            </w14:solidFill>
          </w14:textFill>
        </w:rPr>
        <w:t>样本CV为</w:t>
      </w:r>
      <w:r>
        <w:rPr>
          <w:rFonts w:hint="eastAsia" w:ascii="仿宋_GB2312" w:eastAsia="仿宋_GB2312"/>
          <w:color w:val="000000" w:themeColor="text1"/>
          <w:sz w:val="32"/>
          <w:szCs w:val="32"/>
          <w:highlight w:val="none"/>
          <w:lang w:val="en-US" w:eastAsia="zh-CN"/>
          <w14:textFill>
            <w14:solidFill>
              <w14:schemeClr w14:val="tx1"/>
            </w14:solidFill>
          </w14:textFill>
        </w:rPr>
        <w:t>2.967</w:t>
      </w:r>
      <w:r>
        <w:rPr>
          <w:rFonts w:hint="eastAsia" w:ascii="仿宋_GB2312" w:eastAsia="仿宋_GB2312"/>
          <w:color w:val="000000" w:themeColor="text1"/>
          <w:sz w:val="32"/>
          <w:szCs w:val="32"/>
          <w:highlight w:val="none"/>
          <w14:textFill>
            <w14:solidFill>
              <w14:schemeClr w14:val="tx1"/>
            </w14:solidFill>
          </w14:textFill>
        </w:rPr>
        <w:t>，水平</w:t>
      </w:r>
      <w:r>
        <w:rPr>
          <w:rFonts w:hint="eastAsia" w:ascii="仿宋_GB2312" w:eastAsia="仿宋_GB2312"/>
          <w:color w:val="000000" w:themeColor="text1"/>
          <w:sz w:val="32"/>
          <w:szCs w:val="32"/>
          <w:highlight w:val="none"/>
          <w:lang w:val="en-US" w:eastAsia="zh-CN"/>
          <w14:textFill>
            <w14:solidFill>
              <w14:schemeClr w14:val="tx1"/>
            </w14:solidFill>
          </w14:textFill>
        </w:rPr>
        <w:t>4</w:t>
      </w:r>
      <w:r>
        <w:rPr>
          <w:rFonts w:hint="eastAsia" w:ascii="仿宋_GB2312" w:eastAsia="仿宋_GB2312"/>
          <w:color w:val="000000" w:themeColor="text1"/>
          <w:sz w:val="32"/>
          <w:szCs w:val="32"/>
          <w:highlight w:val="none"/>
          <w14:textFill>
            <w14:solidFill>
              <w14:schemeClr w14:val="tx1"/>
            </w14:solidFill>
          </w14:textFill>
        </w:rPr>
        <w:t>样本CV为</w:t>
      </w:r>
      <w:r>
        <w:rPr>
          <w:rFonts w:hint="eastAsia" w:ascii="仿宋_GB2312" w:eastAsia="仿宋_GB2312"/>
          <w:color w:val="000000" w:themeColor="text1"/>
          <w:sz w:val="32"/>
          <w:szCs w:val="32"/>
          <w:highlight w:val="none"/>
          <w:lang w:val="en-US" w:eastAsia="zh-CN"/>
          <w14:textFill>
            <w14:solidFill>
              <w14:schemeClr w14:val="tx1"/>
            </w14:solidFill>
          </w14:textFill>
        </w:rPr>
        <w:t>2.198</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符合要求。</w:t>
      </w:r>
    </w:p>
    <w:p w14:paraId="7AB7F3C8">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2.符合率</w:t>
      </w:r>
    </w:p>
    <w:p w14:paraId="7E104759">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收集</w:t>
      </w:r>
      <w:r>
        <w:rPr>
          <w:rFonts w:hint="eastAsia" w:ascii="仿宋_GB2312" w:eastAsia="仿宋_GB2312"/>
          <w:color w:val="000000" w:themeColor="text1"/>
          <w:sz w:val="32"/>
          <w:szCs w:val="32"/>
          <w:lang w:val="en-US" w:eastAsia="zh-CN"/>
          <w14:textFill>
            <w14:solidFill>
              <w14:schemeClr w14:val="tx1"/>
            </w14:solidFill>
          </w14:textFill>
        </w:rPr>
        <w:t>不同单位</w:t>
      </w:r>
      <w:r>
        <w:rPr>
          <w:rFonts w:hint="eastAsia" w:ascii="仿宋_GB2312" w:eastAsia="仿宋_GB2312"/>
          <w:color w:val="000000" w:themeColor="text1"/>
          <w:sz w:val="32"/>
          <w:szCs w:val="32"/>
          <w14:textFill>
            <w14:solidFill>
              <w14:schemeClr w14:val="tx1"/>
            </w14:solidFill>
          </w14:textFill>
        </w:rPr>
        <w:t>样本：10阴性、10阳性，共20例样本，用亚辉龙发光检测，记录结果。通过符合性或者相关系数R</w:t>
      </w:r>
      <w:r>
        <w:rPr>
          <w:rFonts w:hint="eastAsia" w:ascii="仿宋_GB2312" w:eastAsia="仿宋_GB2312"/>
          <w:color w:val="000000" w:themeColor="text1"/>
          <w:sz w:val="32"/>
          <w:szCs w:val="32"/>
          <w:vertAlign w:val="superscript"/>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等统计方法评价结果，符合率≥80%。依据标准为WS/T 492-2016《临床检验定量测定项目精密度与正确度性能验证》。符合率验证数据见表2。</w:t>
      </w:r>
    </w:p>
    <w:p w14:paraId="4C0E60CA">
      <w:pPr>
        <w:spacing w:line="52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p>
    <w:p w14:paraId="4B140FC1">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表2  符合率验证数据</w:t>
      </w:r>
    </w:p>
    <w:tbl>
      <w:tblPr>
        <w:tblStyle w:val="17"/>
        <w:tblW w:w="4996" w:type="pct"/>
        <w:tblInd w:w="0" w:type="dxa"/>
        <w:tblLayout w:type="autofit"/>
        <w:tblCellMar>
          <w:top w:w="0" w:type="dxa"/>
          <w:left w:w="108" w:type="dxa"/>
          <w:bottom w:w="0" w:type="dxa"/>
          <w:right w:w="108" w:type="dxa"/>
        </w:tblCellMar>
      </w:tblPr>
      <w:tblGrid>
        <w:gridCol w:w="874"/>
        <w:gridCol w:w="820"/>
        <w:gridCol w:w="820"/>
        <w:gridCol w:w="820"/>
        <w:gridCol w:w="866"/>
        <w:gridCol w:w="3870"/>
        <w:gridCol w:w="1097"/>
      </w:tblGrid>
      <w:tr w14:paraId="2A687EF8">
        <w:tblPrEx>
          <w:tblCellMar>
            <w:top w:w="0" w:type="dxa"/>
            <w:left w:w="108" w:type="dxa"/>
            <w:bottom w:w="0" w:type="dxa"/>
            <w:right w:w="108" w:type="dxa"/>
          </w:tblCellMar>
        </w:tblPrEx>
        <w:trPr>
          <w:trHeight w:val="420" w:hRule="atLeast"/>
        </w:trPr>
        <w:tc>
          <w:tcPr>
            <w:tcW w:w="477"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584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cs="Times New Roman"/>
                <w:color w:val="000000"/>
                <w:sz w:val="22"/>
                <w:szCs w:val="22"/>
              </w:rPr>
            </w:pPr>
            <w:r>
              <w:rPr>
                <w:rFonts w:hint="eastAsia" w:ascii="宋体" w:hAnsi="宋体" w:cs="Times New Roman"/>
                <w:color w:val="000000"/>
                <w:kern w:val="0"/>
                <w:sz w:val="20"/>
                <w:szCs w:val="20"/>
                <w:lang w:val="en-US" w:eastAsia="zh-CN"/>
              </w:rPr>
              <w:t>标本号</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6FEE57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25A6685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单位2</w:t>
            </w:r>
          </w:p>
        </w:tc>
        <w:tc>
          <w:tcPr>
            <w:tcW w:w="447" w:type="pct"/>
            <w:tcBorders>
              <w:top w:val="single" w:color="000000" w:sz="4" w:space="0"/>
              <w:left w:val="nil"/>
              <w:bottom w:val="nil"/>
              <w:right w:val="single" w:color="000000" w:sz="4" w:space="0"/>
            </w:tcBorders>
            <w:shd w:val="clear" w:color="auto" w:fill="FFFFFF"/>
            <w:noWrap/>
            <w:vAlign w:val="center"/>
          </w:tcPr>
          <w:p w14:paraId="5B3A97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单位3</w:t>
            </w:r>
          </w:p>
        </w:tc>
        <w:tc>
          <w:tcPr>
            <w:tcW w:w="469" w:type="pct"/>
            <w:tcBorders>
              <w:top w:val="single" w:color="000000" w:sz="4" w:space="0"/>
              <w:left w:val="nil"/>
              <w:bottom w:val="nil"/>
              <w:right w:val="single" w:color="000000" w:sz="4" w:space="0"/>
            </w:tcBorders>
            <w:shd w:val="clear" w:color="auto" w:fill="FFFFFF"/>
            <w:noWrap/>
            <w:vAlign w:val="center"/>
          </w:tcPr>
          <w:p w14:paraId="442097B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单位4</w:t>
            </w:r>
          </w:p>
        </w:tc>
        <w:tc>
          <w:tcPr>
            <w:tcW w:w="2110" w:type="pct"/>
            <w:vMerge w:val="restart"/>
            <w:tcBorders>
              <w:top w:val="single" w:color="000000" w:sz="4" w:space="0"/>
              <w:left w:val="nil"/>
              <w:right w:val="single" w:color="000000" w:sz="4" w:space="0"/>
            </w:tcBorders>
            <w:shd w:val="clear" w:color="auto" w:fill="FFFFFF"/>
            <w:noWrap/>
            <w:vAlign w:val="center"/>
          </w:tcPr>
          <w:p w14:paraId="6D69D7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阴阳性</w:t>
            </w:r>
          </w:p>
        </w:tc>
        <w:tc>
          <w:tcPr>
            <w:tcW w:w="598" w:type="pct"/>
            <w:vMerge w:val="restart"/>
            <w:tcBorders>
              <w:top w:val="single" w:color="000000" w:sz="4" w:space="0"/>
              <w:left w:val="nil"/>
              <w:bottom w:val="single" w:color="000000" w:sz="4" w:space="0"/>
              <w:right w:val="single" w:color="000000" w:sz="4" w:space="0"/>
            </w:tcBorders>
            <w:shd w:val="clear" w:color="auto" w:fill="FFFFFF"/>
            <w:noWrap/>
            <w:vAlign w:val="center"/>
          </w:tcPr>
          <w:p w14:paraId="7856863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结果判断</w:t>
            </w:r>
          </w:p>
        </w:tc>
      </w:tr>
      <w:tr w14:paraId="7BC1CCF8">
        <w:tblPrEx>
          <w:tblCellMar>
            <w:top w:w="0" w:type="dxa"/>
            <w:left w:w="108" w:type="dxa"/>
            <w:bottom w:w="0" w:type="dxa"/>
            <w:right w:w="108" w:type="dxa"/>
          </w:tblCellMar>
        </w:tblPrEx>
        <w:trPr>
          <w:trHeight w:val="420" w:hRule="atLeast"/>
        </w:trPr>
        <w:tc>
          <w:tcPr>
            <w:tcW w:w="477" w:type="pct"/>
            <w:vMerge w:val="continue"/>
            <w:tcBorders>
              <w:top w:val="single" w:color="000000" w:sz="4" w:space="0"/>
              <w:left w:val="single" w:color="000000" w:sz="4" w:space="0"/>
              <w:bottom w:val="single" w:color="000000" w:sz="4" w:space="0"/>
              <w:right w:val="single" w:color="000000" w:sz="4" w:space="0"/>
            </w:tcBorders>
            <w:vAlign w:val="center"/>
          </w:tcPr>
          <w:p w14:paraId="05DBBB8D">
            <w:pPr>
              <w:widowControl/>
              <w:jc w:val="left"/>
              <w:rPr>
                <w:rFonts w:ascii="宋体" w:hAnsi="宋体" w:cs="Times New Roman"/>
                <w:color w:val="000000"/>
                <w:sz w:val="22"/>
                <w:szCs w:val="22"/>
              </w:rPr>
            </w:pPr>
          </w:p>
        </w:tc>
        <w:tc>
          <w:tcPr>
            <w:tcW w:w="1813" w:type="pct"/>
            <w:gridSpan w:val="4"/>
            <w:tcBorders>
              <w:top w:val="single" w:color="000000" w:sz="4" w:space="0"/>
              <w:left w:val="nil"/>
              <w:bottom w:val="single" w:color="000000" w:sz="4" w:space="0"/>
              <w:right w:val="single" w:color="000000" w:sz="4" w:space="0"/>
            </w:tcBorders>
            <w:shd w:val="clear" w:color="auto" w:fill="FFFFFF"/>
            <w:noWrap/>
            <w:vAlign w:val="center"/>
          </w:tcPr>
          <w:p w14:paraId="6DC9E8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检测结果</w:t>
            </w:r>
          </w:p>
        </w:tc>
        <w:tc>
          <w:tcPr>
            <w:tcW w:w="2110" w:type="pct"/>
            <w:vMerge w:val="continue"/>
            <w:tcBorders>
              <w:left w:val="nil"/>
              <w:bottom w:val="single" w:color="000000" w:sz="4" w:space="0"/>
              <w:right w:val="single" w:color="000000" w:sz="4" w:space="0"/>
            </w:tcBorders>
            <w:shd w:val="clear" w:color="auto" w:fill="FFFFFF"/>
            <w:noWrap/>
            <w:vAlign w:val="center"/>
          </w:tcPr>
          <w:p w14:paraId="52FD2185">
            <w:pPr>
              <w:widowControl/>
              <w:spacing w:line="360" w:lineRule="auto"/>
              <w:jc w:val="center"/>
              <w:textAlignment w:val="center"/>
              <w:rPr>
                <w:rFonts w:hint="eastAsia" w:ascii="宋体" w:hAnsi="宋体" w:cs="Times New Roman"/>
                <w:color w:val="000000"/>
                <w:sz w:val="22"/>
                <w:szCs w:val="22"/>
              </w:rPr>
            </w:pPr>
          </w:p>
        </w:tc>
        <w:tc>
          <w:tcPr>
            <w:tcW w:w="598" w:type="pct"/>
            <w:vMerge w:val="continue"/>
            <w:tcBorders>
              <w:top w:val="single" w:color="000000" w:sz="4" w:space="0"/>
              <w:left w:val="nil"/>
              <w:bottom w:val="single" w:color="000000" w:sz="4" w:space="0"/>
              <w:right w:val="single" w:color="000000" w:sz="4" w:space="0"/>
            </w:tcBorders>
            <w:vAlign w:val="center"/>
          </w:tcPr>
          <w:p w14:paraId="53FBBE56">
            <w:pPr>
              <w:widowControl/>
              <w:jc w:val="left"/>
              <w:rPr>
                <w:rFonts w:ascii="宋体" w:hAnsi="宋体" w:cs="Times New Roman"/>
                <w:color w:val="000000"/>
                <w:sz w:val="22"/>
                <w:szCs w:val="22"/>
              </w:rPr>
            </w:pPr>
          </w:p>
        </w:tc>
      </w:tr>
      <w:tr w14:paraId="786A58CA">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13D3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 </w:t>
            </w:r>
          </w:p>
        </w:tc>
        <w:tc>
          <w:tcPr>
            <w:tcW w:w="447" w:type="pct"/>
            <w:tcBorders>
              <w:top w:val="single" w:color="000000" w:sz="4" w:space="0"/>
              <w:left w:val="nil"/>
              <w:bottom w:val="single" w:color="000000" w:sz="4" w:space="0"/>
              <w:right w:val="single" w:color="000000" w:sz="4" w:space="0"/>
            </w:tcBorders>
            <w:noWrap/>
            <w:vAlign w:val="center"/>
          </w:tcPr>
          <w:p w14:paraId="5FF6D31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19.3</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B0C8D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20.7</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72C37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7.2</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056A48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9.9</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39A1B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A1DE8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9E28707">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DD2A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 </w:t>
            </w:r>
          </w:p>
        </w:tc>
        <w:tc>
          <w:tcPr>
            <w:tcW w:w="447" w:type="pct"/>
            <w:tcBorders>
              <w:top w:val="single" w:color="000000" w:sz="4" w:space="0"/>
              <w:left w:val="nil"/>
              <w:bottom w:val="single" w:color="000000" w:sz="4" w:space="0"/>
              <w:right w:val="single" w:color="000000" w:sz="4" w:space="0"/>
            </w:tcBorders>
            <w:noWrap/>
            <w:vAlign w:val="center"/>
          </w:tcPr>
          <w:p w14:paraId="19AAD69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10.1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9F7CD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17.4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AB64B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8.5</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1E59197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DAE33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EED8A6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3E2DD40C">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2DE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 </w:t>
            </w:r>
          </w:p>
        </w:tc>
        <w:tc>
          <w:tcPr>
            <w:tcW w:w="447" w:type="pct"/>
            <w:tcBorders>
              <w:top w:val="single" w:color="000000" w:sz="4" w:space="0"/>
              <w:left w:val="nil"/>
              <w:bottom w:val="single" w:color="000000" w:sz="4" w:space="0"/>
              <w:right w:val="single" w:color="000000" w:sz="4" w:space="0"/>
            </w:tcBorders>
            <w:noWrap/>
            <w:vAlign w:val="center"/>
          </w:tcPr>
          <w:p w14:paraId="46018EB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20</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4CD9A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18.4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3442F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40AD7B1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11.2</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FC6A41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5291CB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E05ECC1">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2CAC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4 </w:t>
            </w:r>
          </w:p>
        </w:tc>
        <w:tc>
          <w:tcPr>
            <w:tcW w:w="447" w:type="pct"/>
            <w:tcBorders>
              <w:top w:val="single" w:color="000000" w:sz="4" w:space="0"/>
              <w:left w:val="nil"/>
              <w:bottom w:val="single" w:color="000000" w:sz="4" w:space="0"/>
              <w:right w:val="single" w:color="000000" w:sz="4" w:space="0"/>
            </w:tcBorders>
            <w:noWrap/>
            <w:vAlign w:val="center"/>
          </w:tcPr>
          <w:p w14:paraId="6FEBF3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9F4E6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2CCC2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27.6</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7F1EC4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31.1</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58541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43846E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5F2AD469">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88F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 </w:t>
            </w:r>
          </w:p>
        </w:tc>
        <w:tc>
          <w:tcPr>
            <w:tcW w:w="447" w:type="pct"/>
            <w:tcBorders>
              <w:top w:val="single" w:color="000000" w:sz="4" w:space="0"/>
              <w:left w:val="nil"/>
              <w:bottom w:val="single" w:color="000000" w:sz="4" w:space="0"/>
              <w:right w:val="single" w:color="000000" w:sz="4" w:space="0"/>
            </w:tcBorders>
            <w:noWrap/>
            <w:vAlign w:val="center"/>
          </w:tcPr>
          <w:p w14:paraId="647B086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3.9</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5EFEF0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3.8</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064AF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18.6</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1CB1FEE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17.2</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46947B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947B6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311C82FA">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3B1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6 </w:t>
            </w:r>
          </w:p>
        </w:tc>
        <w:tc>
          <w:tcPr>
            <w:tcW w:w="447" w:type="pct"/>
            <w:tcBorders>
              <w:top w:val="single" w:color="000000" w:sz="4" w:space="0"/>
              <w:left w:val="nil"/>
              <w:bottom w:val="single" w:color="000000" w:sz="4" w:space="0"/>
              <w:right w:val="single" w:color="000000" w:sz="4" w:space="0"/>
            </w:tcBorders>
            <w:noWrap/>
            <w:vAlign w:val="center"/>
          </w:tcPr>
          <w:p w14:paraId="3969411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13.5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5F308F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12.5</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8A05B6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4.3</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03C9367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2A4F0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0CB5AF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0EBEA0E3">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D9779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7 </w:t>
            </w:r>
          </w:p>
        </w:tc>
        <w:tc>
          <w:tcPr>
            <w:tcW w:w="447" w:type="pct"/>
            <w:tcBorders>
              <w:top w:val="single" w:color="000000" w:sz="4" w:space="0"/>
              <w:left w:val="nil"/>
              <w:bottom w:val="single" w:color="000000" w:sz="4" w:space="0"/>
              <w:right w:val="single" w:color="000000" w:sz="4" w:space="0"/>
            </w:tcBorders>
            <w:noWrap/>
            <w:vAlign w:val="center"/>
          </w:tcPr>
          <w:p w14:paraId="0ACECBF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3A72AF1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9.5</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A09DA4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2.5</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5292C3F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358411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BC5CF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725AD658">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ECC2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8 </w:t>
            </w:r>
          </w:p>
        </w:tc>
        <w:tc>
          <w:tcPr>
            <w:tcW w:w="447" w:type="pct"/>
            <w:tcBorders>
              <w:top w:val="single" w:color="000000" w:sz="4" w:space="0"/>
              <w:left w:val="nil"/>
              <w:bottom w:val="single" w:color="000000" w:sz="4" w:space="0"/>
              <w:right w:val="single" w:color="000000" w:sz="4" w:space="0"/>
            </w:tcBorders>
            <w:noWrap/>
            <w:vAlign w:val="center"/>
          </w:tcPr>
          <w:p w14:paraId="185BBE8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6.5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2A9154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6.8</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65760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2.8</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2C7E30F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2.50 </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F707C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965D2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20CC78D">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DDE9E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 </w:t>
            </w:r>
          </w:p>
        </w:tc>
        <w:tc>
          <w:tcPr>
            <w:tcW w:w="447" w:type="pct"/>
            <w:tcBorders>
              <w:top w:val="single" w:color="000000" w:sz="4" w:space="0"/>
              <w:left w:val="nil"/>
              <w:bottom w:val="single" w:color="000000" w:sz="4" w:space="0"/>
              <w:right w:val="single" w:color="000000" w:sz="4" w:space="0"/>
            </w:tcBorders>
            <w:noWrap/>
            <w:vAlign w:val="center"/>
          </w:tcPr>
          <w:p w14:paraId="5963072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717356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F96D53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4.4</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6326692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9A020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2F1E8C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8ED6962">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504AB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10 </w:t>
            </w:r>
          </w:p>
        </w:tc>
        <w:tc>
          <w:tcPr>
            <w:tcW w:w="447" w:type="pct"/>
            <w:tcBorders>
              <w:top w:val="single" w:color="000000" w:sz="4" w:space="0"/>
              <w:left w:val="nil"/>
              <w:bottom w:val="single" w:color="000000" w:sz="4" w:space="0"/>
              <w:right w:val="single" w:color="000000" w:sz="4" w:space="0"/>
            </w:tcBorders>
            <w:noWrap/>
            <w:vAlign w:val="center"/>
          </w:tcPr>
          <w:p w14:paraId="464EDD7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10.1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5A9304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10.6</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4C597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19.3</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4EF7BF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19.8</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42021AA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5C4C6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698C4153">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0BD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11 </w:t>
            </w:r>
          </w:p>
        </w:tc>
        <w:tc>
          <w:tcPr>
            <w:tcW w:w="447" w:type="pct"/>
            <w:tcBorders>
              <w:top w:val="single" w:color="000000" w:sz="4" w:space="0"/>
              <w:left w:val="nil"/>
              <w:bottom w:val="single" w:color="000000" w:sz="4" w:space="0"/>
              <w:right w:val="single" w:color="000000" w:sz="4" w:space="0"/>
            </w:tcBorders>
            <w:noWrap/>
            <w:vAlign w:val="center"/>
          </w:tcPr>
          <w:p w14:paraId="6CB3FB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115.3</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FD58FF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129.5</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74229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234.4</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684E7B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216.8</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6BB055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6C689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7CD108C1">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30EA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12 </w:t>
            </w:r>
          </w:p>
        </w:tc>
        <w:tc>
          <w:tcPr>
            <w:tcW w:w="447" w:type="pct"/>
            <w:tcBorders>
              <w:top w:val="single" w:color="000000" w:sz="4" w:space="0"/>
              <w:left w:val="nil"/>
              <w:bottom w:val="single" w:color="000000" w:sz="4" w:space="0"/>
              <w:right w:val="single" w:color="000000" w:sz="4" w:space="0"/>
            </w:tcBorders>
            <w:noWrap/>
            <w:vAlign w:val="center"/>
          </w:tcPr>
          <w:p w14:paraId="24450B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140.8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07D840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139.4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7CAEC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242.6</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3FE8DC0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228.6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270204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729297A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88B0394">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9D6B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13 </w:t>
            </w:r>
          </w:p>
        </w:tc>
        <w:tc>
          <w:tcPr>
            <w:tcW w:w="447" w:type="pct"/>
            <w:tcBorders>
              <w:top w:val="single" w:color="000000" w:sz="4" w:space="0"/>
              <w:left w:val="nil"/>
              <w:bottom w:val="single" w:color="000000" w:sz="4" w:space="0"/>
              <w:right w:val="single" w:color="000000" w:sz="4" w:space="0"/>
            </w:tcBorders>
            <w:noWrap/>
            <w:vAlign w:val="center"/>
          </w:tcPr>
          <w:p w14:paraId="7DBEF50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154.6</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21CB29E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149.5</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CE010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14.8</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0D137B8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3B57C19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30AAEE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623D37A5">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50F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14 </w:t>
            </w:r>
          </w:p>
        </w:tc>
        <w:tc>
          <w:tcPr>
            <w:tcW w:w="447" w:type="pct"/>
            <w:tcBorders>
              <w:top w:val="single" w:color="000000" w:sz="4" w:space="0"/>
              <w:left w:val="nil"/>
              <w:bottom w:val="single" w:color="000000" w:sz="4" w:space="0"/>
              <w:right w:val="single" w:color="000000" w:sz="4" w:space="0"/>
            </w:tcBorders>
            <w:noWrap/>
            <w:vAlign w:val="center"/>
          </w:tcPr>
          <w:p w14:paraId="5AEE0CE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111.1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7970FA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99</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EEE44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123.6</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309787F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110</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4BA07F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74522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D70070F">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8C95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15 </w:t>
            </w:r>
          </w:p>
        </w:tc>
        <w:tc>
          <w:tcPr>
            <w:tcW w:w="447" w:type="pct"/>
            <w:tcBorders>
              <w:top w:val="single" w:color="000000" w:sz="4" w:space="0"/>
              <w:left w:val="nil"/>
              <w:bottom w:val="single" w:color="000000" w:sz="4" w:space="0"/>
              <w:right w:val="single" w:color="000000" w:sz="4" w:space="0"/>
            </w:tcBorders>
            <w:noWrap/>
            <w:vAlign w:val="center"/>
          </w:tcPr>
          <w:p w14:paraId="694595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157.4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2D79E2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155.3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47DC00F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89.7</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787667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84.2</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88FB1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0BA17E1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9C59235">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BB3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16 </w:t>
            </w:r>
          </w:p>
        </w:tc>
        <w:tc>
          <w:tcPr>
            <w:tcW w:w="447" w:type="pct"/>
            <w:tcBorders>
              <w:top w:val="single" w:color="000000" w:sz="4" w:space="0"/>
              <w:left w:val="nil"/>
              <w:bottom w:val="single" w:color="000000" w:sz="4" w:space="0"/>
              <w:right w:val="single" w:color="000000" w:sz="4" w:space="0"/>
            </w:tcBorders>
            <w:noWrap/>
            <w:vAlign w:val="center"/>
          </w:tcPr>
          <w:p w14:paraId="6AA682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90.1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0F57D3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92.2</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C53BB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162.3</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2AE7BF3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160.5</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67F69F8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7B5367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385280FC">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6E92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17 </w:t>
            </w:r>
          </w:p>
        </w:tc>
        <w:tc>
          <w:tcPr>
            <w:tcW w:w="447" w:type="pct"/>
            <w:tcBorders>
              <w:top w:val="single" w:color="000000" w:sz="4" w:space="0"/>
              <w:left w:val="nil"/>
              <w:bottom w:val="single" w:color="000000" w:sz="4" w:space="0"/>
              <w:right w:val="single" w:color="000000" w:sz="4" w:space="0"/>
            </w:tcBorders>
            <w:noWrap/>
            <w:vAlign w:val="center"/>
          </w:tcPr>
          <w:p w14:paraId="41AC28B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42.9</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04A36F6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46.4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4F5BD6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135.1</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7B6D80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125.3</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886662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370AE72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1440B55">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B17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18 </w:t>
            </w:r>
          </w:p>
        </w:tc>
        <w:tc>
          <w:tcPr>
            <w:tcW w:w="447" w:type="pct"/>
            <w:tcBorders>
              <w:top w:val="single" w:color="000000" w:sz="4" w:space="0"/>
              <w:left w:val="nil"/>
              <w:bottom w:val="single" w:color="000000" w:sz="4" w:space="0"/>
              <w:right w:val="single" w:color="000000" w:sz="4" w:space="0"/>
            </w:tcBorders>
            <w:noWrap/>
            <w:vAlign w:val="center"/>
          </w:tcPr>
          <w:p w14:paraId="203B9A5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47.4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299CB0C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48.7</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4D35E0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93.1</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682AF4E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94.5</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211B08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252F43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BAF6EAF">
        <w:tblPrEx>
          <w:tblCellMar>
            <w:top w:w="0" w:type="dxa"/>
            <w:left w:w="108" w:type="dxa"/>
            <w:bottom w:w="0" w:type="dxa"/>
            <w:right w:w="108" w:type="dxa"/>
          </w:tblCellMar>
        </w:tblPrEx>
        <w:trPr>
          <w:trHeight w:val="428"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37A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19</w:t>
            </w:r>
            <w:r>
              <w:rPr>
                <w:rFonts w:hint="eastAsia" w:ascii="宋体" w:hAnsi="宋体" w:cs="Times New Roman"/>
                <w:color w:val="000000"/>
                <w:kern w:val="0"/>
                <w:sz w:val="20"/>
                <w:szCs w:val="20"/>
                <w:lang w:val="en-US" w:eastAsia="zh-CN"/>
              </w:rPr>
              <w:t xml:space="preserve"> </w:t>
            </w:r>
          </w:p>
        </w:tc>
        <w:tc>
          <w:tcPr>
            <w:tcW w:w="447" w:type="pct"/>
            <w:tcBorders>
              <w:top w:val="single" w:color="000000" w:sz="4" w:space="0"/>
              <w:left w:val="nil"/>
              <w:bottom w:val="single" w:color="000000" w:sz="4" w:space="0"/>
              <w:right w:val="single" w:color="000000" w:sz="4" w:space="0"/>
            </w:tcBorders>
            <w:noWrap/>
            <w:vAlign w:val="center"/>
          </w:tcPr>
          <w:p w14:paraId="4B2774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142</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3BA8E5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142.8</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C89B0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61.9</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4F60029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65.2</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42FAA8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252D08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739A0771">
        <w:tblPrEx>
          <w:tblCellMar>
            <w:top w:w="0" w:type="dxa"/>
            <w:left w:w="108" w:type="dxa"/>
            <w:bottom w:w="0" w:type="dxa"/>
            <w:right w:w="108" w:type="dxa"/>
          </w:tblCellMar>
        </w:tblPrEx>
        <w:trPr>
          <w:trHeight w:val="420" w:hRule="atLeast"/>
        </w:trPr>
        <w:tc>
          <w:tcPr>
            <w:tcW w:w="47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3603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20 </w:t>
            </w:r>
          </w:p>
        </w:tc>
        <w:tc>
          <w:tcPr>
            <w:tcW w:w="447" w:type="pct"/>
            <w:tcBorders>
              <w:top w:val="single" w:color="000000" w:sz="4" w:space="0"/>
              <w:left w:val="nil"/>
              <w:bottom w:val="single" w:color="000000" w:sz="4" w:space="0"/>
              <w:right w:val="single" w:color="000000" w:sz="4" w:space="0"/>
            </w:tcBorders>
            <w:noWrap/>
            <w:vAlign w:val="center"/>
          </w:tcPr>
          <w:p w14:paraId="4736A32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75.5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61D59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66.9</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3B1AA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179.6</w:t>
            </w:r>
          </w:p>
        </w:tc>
        <w:tc>
          <w:tcPr>
            <w:tcW w:w="469" w:type="pct"/>
            <w:tcBorders>
              <w:top w:val="single" w:color="000000" w:sz="4" w:space="0"/>
              <w:left w:val="nil"/>
              <w:bottom w:val="single" w:color="000000" w:sz="4" w:space="0"/>
              <w:right w:val="single" w:color="000000" w:sz="4" w:space="0"/>
            </w:tcBorders>
            <w:shd w:val="clear" w:color="auto" w:fill="FFFFFF"/>
            <w:noWrap/>
            <w:vAlign w:val="center"/>
          </w:tcPr>
          <w:p w14:paraId="38B6EB0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111.1</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421ADCD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B96647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0"/>
                <w:szCs w:val="20"/>
                <w:lang w:val="en-US" w:eastAsia="zh-CN"/>
              </w:rPr>
              <w:t>符合</w:t>
            </w:r>
          </w:p>
        </w:tc>
      </w:tr>
    </w:tbl>
    <w:p w14:paraId="681B707B">
      <w:pPr>
        <w:spacing w:line="520" w:lineRule="exact"/>
        <w:ind w:firstLine="640" w:firstLineChars="20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结论：样本符合率均达到100%，符合要求。</w:t>
      </w:r>
    </w:p>
    <w:p w14:paraId="6EC88F0A">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3.线性范围</w:t>
      </w:r>
    </w:p>
    <w:p w14:paraId="518E1FBC">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线性范围上限±20%的高值样本（H），用接近线性范围下限低值样本（L）。将线性范围上限±20%的高值样本（H），用接近线性范围下限低值样本（L）安排不同稀释比例制备出至少5个梯度样本，每份样本重复测定2次，计算出测定均值，与理论浓度按照最小二乘法进行拟合，得出线性回归方程：Y=kX+b，并计算线性相关系数r。线性相关系数应不小于0.9900，k在0.97～1.03范围内。验证依据为CLSI EP6A《定量测量方法的线性评价》。线性范围验证数据见表3，回归曲线见图1。</w:t>
      </w:r>
    </w:p>
    <w:p w14:paraId="2F745B4F">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表3</w:t>
      </w:r>
      <w:r>
        <w:rPr>
          <w:rFonts w:hint="eastAsia" w:ascii="仿宋_GB2312" w:eastAsia="仿宋_GB2312"/>
          <w:color w:val="000000" w:themeColor="text1"/>
          <w:sz w:val="22"/>
          <w:szCs w:val="22"/>
          <w:lang w:val="en-US" w:eastAsia="zh-CN"/>
          <w14:textFill>
            <w14:solidFill>
              <w14:schemeClr w14:val="tx1"/>
            </w14:solidFill>
          </w14:textFill>
        </w:rPr>
        <w:t xml:space="preserve">  </w:t>
      </w:r>
      <w:r>
        <w:rPr>
          <w:rFonts w:hint="eastAsia" w:ascii="仿宋_GB2312" w:eastAsia="仿宋_GB2312"/>
          <w:color w:val="000000" w:themeColor="text1"/>
          <w:sz w:val="22"/>
          <w:szCs w:val="22"/>
          <w14:textFill>
            <w14:solidFill>
              <w14:schemeClr w14:val="tx1"/>
            </w14:solidFill>
          </w14:textFill>
        </w:rPr>
        <w:t>线性范围验证数据</w:t>
      </w:r>
    </w:p>
    <w:tbl>
      <w:tblPr>
        <w:tblStyle w:val="17"/>
        <w:tblW w:w="9220" w:type="dxa"/>
        <w:tblInd w:w="99" w:type="dxa"/>
        <w:tblLayout w:type="autofit"/>
        <w:tblCellMar>
          <w:top w:w="0" w:type="dxa"/>
          <w:left w:w="108" w:type="dxa"/>
          <w:bottom w:w="0" w:type="dxa"/>
          <w:right w:w="108" w:type="dxa"/>
        </w:tblCellMar>
      </w:tblPr>
      <w:tblGrid>
        <w:gridCol w:w="1098"/>
        <w:gridCol w:w="1781"/>
        <w:gridCol w:w="1041"/>
        <w:gridCol w:w="1041"/>
        <w:gridCol w:w="1041"/>
        <w:gridCol w:w="1066"/>
        <w:gridCol w:w="1082"/>
        <w:gridCol w:w="1070"/>
      </w:tblGrid>
      <w:tr w14:paraId="4AD4B555">
        <w:tblPrEx>
          <w:tblCellMar>
            <w:top w:w="0" w:type="dxa"/>
            <w:left w:w="108" w:type="dxa"/>
            <w:bottom w:w="0" w:type="dxa"/>
            <w:right w:w="108" w:type="dxa"/>
          </w:tblCellMar>
        </w:tblPrEx>
        <w:trPr>
          <w:trHeight w:val="466" w:hRule="atLeast"/>
        </w:trPr>
        <w:tc>
          <w:tcPr>
            <w:tcW w:w="9220" w:type="dxa"/>
            <w:gridSpan w:val="8"/>
            <w:tcBorders>
              <w:top w:val="single" w:color="000000" w:sz="4" w:space="0"/>
              <w:left w:val="single" w:color="000000" w:sz="4" w:space="0"/>
              <w:bottom w:val="single" w:color="000000" w:sz="4" w:space="0"/>
              <w:right w:val="single" w:color="000000" w:sz="4" w:space="0"/>
            </w:tcBorders>
            <w:shd w:val="clear" w:color="auto" w:fill="FFFFFF"/>
            <w:vAlign w:val="center"/>
          </w:tcPr>
          <w:p w14:paraId="339A8B09">
            <w:pPr>
              <w:widowControl/>
              <w:spacing w:line="360" w:lineRule="auto"/>
              <w:jc w:val="center"/>
              <w:textAlignment w:val="center"/>
              <w:rPr>
                <w:rFonts w:ascii="宋体" w:hAnsi="宋体" w:cs="Times New Roman"/>
                <w:color w:val="000000"/>
                <w:sz w:val="22"/>
                <w:szCs w:val="22"/>
              </w:rPr>
            </w:pPr>
            <w:r>
              <w:rPr>
                <w:rFonts w:hint="eastAsia" w:ascii="宋体" w:hAnsi="宋体" w:cs="Times New Roman"/>
                <w:color w:val="000000"/>
                <w:kern w:val="0"/>
                <w:sz w:val="22"/>
                <w:szCs w:val="22"/>
              </w:rPr>
              <w:t>试验结果</w:t>
            </w:r>
          </w:p>
        </w:tc>
      </w:tr>
      <w:tr w14:paraId="7FD944C9">
        <w:tblPrEx>
          <w:tblCellMar>
            <w:top w:w="0" w:type="dxa"/>
            <w:left w:w="108" w:type="dxa"/>
            <w:bottom w:w="0" w:type="dxa"/>
            <w:right w:w="108" w:type="dxa"/>
          </w:tblCellMar>
        </w:tblPrEx>
        <w:trPr>
          <w:trHeight w:val="466"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3D4848">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稀释系列</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130ADA29">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样本量</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22600EDE">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测定值1</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5A27286C">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测定值2</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2B46A5E8">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测定值3</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5057739F">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均值</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45FB7965">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理论值</w:t>
            </w:r>
          </w:p>
        </w:tc>
        <w:tc>
          <w:tcPr>
            <w:tcW w:w="0" w:type="auto"/>
            <w:tcBorders>
              <w:top w:val="single" w:color="000000" w:sz="4" w:space="0"/>
              <w:left w:val="nil"/>
              <w:bottom w:val="single" w:color="000000" w:sz="4" w:space="0"/>
              <w:right w:val="single" w:color="000000" w:sz="4" w:space="0"/>
            </w:tcBorders>
            <w:shd w:val="clear" w:color="auto" w:fill="FFFFFF"/>
            <w:noWrap/>
            <w:vAlign w:val="center"/>
          </w:tcPr>
          <w:p w14:paraId="5B6D0157">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差值</w:t>
            </w:r>
          </w:p>
        </w:tc>
      </w:tr>
      <w:tr w14:paraId="23EF39CE">
        <w:tblPrEx>
          <w:tblCellMar>
            <w:top w:w="0" w:type="dxa"/>
            <w:left w:w="108" w:type="dxa"/>
            <w:bottom w:w="0" w:type="dxa"/>
            <w:right w:w="108" w:type="dxa"/>
          </w:tblCellMar>
        </w:tblPrEx>
        <w:trPr>
          <w:trHeight w:val="466"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0DF96">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H</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66FE4E0A">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200uL（H）</w:t>
            </w:r>
          </w:p>
        </w:tc>
        <w:tc>
          <w:tcPr>
            <w:tcW w:w="0" w:type="auto"/>
            <w:tcBorders>
              <w:top w:val="single" w:color="000000" w:sz="4" w:space="0"/>
              <w:left w:val="nil"/>
              <w:bottom w:val="single" w:color="000000" w:sz="4" w:space="0"/>
              <w:right w:val="single" w:color="000000" w:sz="4" w:space="0"/>
            </w:tcBorders>
            <w:noWrap/>
            <w:vAlign w:val="center"/>
          </w:tcPr>
          <w:p w14:paraId="4504B996">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225.4</w:t>
            </w:r>
          </w:p>
        </w:tc>
        <w:tc>
          <w:tcPr>
            <w:tcW w:w="0" w:type="auto"/>
            <w:tcBorders>
              <w:top w:val="single" w:color="000000" w:sz="4" w:space="0"/>
              <w:left w:val="nil"/>
              <w:bottom w:val="single" w:color="000000" w:sz="4" w:space="0"/>
              <w:right w:val="single" w:color="000000" w:sz="4" w:space="0"/>
            </w:tcBorders>
            <w:noWrap/>
            <w:vAlign w:val="center"/>
          </w:tcPr>
          <w:p w14:paraId="6150952B">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225.7</w:t>
            </w:r>
          </w:p>
        </w:tc>
        <w:tc>
          <w:tcPr>
            <w:tcW w:w="0" w:type="auto"/>
            <w:tcBorders>
              <w:top w:val="single" w:color="000000" w:sz="4" w:space="0"/>
              <w:left w:val="nil"/>
              <w:bottom w:val="single" w:color="000000" w:sz="4" w:space="0"/>
              <w:right w:val="single" w:color="000000" w:sz="4" w:space="0"/>
            </w:tcBorders>
            <w:noWrap/>
            <w:vAlign w:val="center"/>
          </w:tcPr>
          <w:p w14:paraId="6B777F1D">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224.9</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62547C56">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225.33</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5E32D25F">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225.33</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5EBD6C43">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-0.003 </w:t>
            </w:r>
          </w:p>
        </w:tc>
      </w:tr>
      <w:tr w14:paraId="6C792598">
        <w:tblPrEx>
          <w:tblCellMar>
            <w:top w:w="0" w:type="dxa"/>
            <w:left w:w="108" w:type="dxa"/>
            <w:bottom w:w="0" w:type="dxa"/>
            <w:right w:w="108" w:type="dxa"/>
          </w:tblCellMar>
        </w:tblPrEx>
        <w:trPr>
          <w:trHeight w:val="466"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896A28">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H:L=4:1</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51BA3D99">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50（L）+200（H）</w:t>
            </w:r>
          </w:p>
        </w:tc>
        <w:tc>
          <w:tcPr>
            <w:tcW w:w="0" w:type="auto"/>
            <w:tcBorders>
              <w:top w:val="single" w:color="000000" w:sz="4" w:space="0"/>
              <w:left w:val="nil"/>
              <w:bottom w:val="single" w:color="000000" w:sz="4" w:space="0"/>
              <w:right w:val="single" w:color="000000" w:sz="4" w:space="0"/>
            </w:tcBorders>
            <w:noWrap/>
            <w:vAlign w:val="center"/>
          </w:tcPr>
          <w:p w14:paraId="70D9F1D8">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185.6</w:t>
            </w:r>
          </w:p>
        </w:tc>
        <w:tc>
          <w:tcPr>
            <w:tcW w:w="0" w:type="auto"/>
            <w:tcBorders>
              <w:top w:val="single" w:color="000000" w:sz="4" w:space="0"/>
              <w:left w:val="nil"/>
              <w:bottom w:val="single" w:color="000000" w:sz="4" w:space="0"/>
              <w:right w:val="single" w:color="000000" w:sz="4" w:space="0"/>
            </w:tcBorders>
            <w:noWrap/>
            <w:vAlign w:val="center"/>
          </w:tcPr>
          <w:p w14:paraId="741FCE7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186.5</w:t>
            </w:r>
          </w:p>
        </w:tc>
        <w:tc>
          <w:tcPr>
            <w:tcW w:w="0" w:type="auto"/>
            <w:tcBorders>
              <w:top w:val="single" w:color="000000" w:sz="4" w:space="0"/>
              <w:left w:val="nil"/>
              <w:bottom w:val="single" w:color="000000" w:sz="4" w:space="0"/>
              <w:right w:val="single" w:color="000000" w:sz="4" w:space="0"/>
            </w:tcBorders>
            <w:noWrap/>
            <w:vAlign w:val="center"/>
          </w:tcPr>
          <w:p w14:paraId="033FE9AC">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186.4</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45F4218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186.17</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41B650A5">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180.264</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0A40A150">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-5.903 </w:t>
            </w:r>
          </w:p>
        </w:tc>
      </w:tr>
      <w:tr w14:paraId="5939D9CD">
        <w:tblPrEx>
          <w:tblCellMar>
            <w:top w:w="0" w:type="dxa"/>
            <w:left w:w="108" w:type="dxa"/>
            <w:bottom w:w="0" w:type="dxa"/>
            <w:right w:w="108" w:type="dxa"/>
          </w:tblCellMar>
        </w:tblPrEx>
        <w:trPr>
          <w:trHeight w:val="466"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A4268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H:L=3:2</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7A6657D0">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150（L）+100（H）</w:t>
            </w:r>
          </w:p>
        </w:tc>
        <w:tc>
          <w:tcPr>
            <w:tcW w:w="0" w:type="auto"/>
            <w:tcBorders>
              <w:top w:val="single" w:color="000000" w:sz="4" w:space="0"/>
              <w:left w:val="nil"/>
              <w:bottom w:val="single" w:color="000000" w:sz="4" w:space="0"/>
              <w:right w:val="single" w:color="000000" w:sz="4" w:space="0"/>
            </w:tcBorders>
            <w:noWrap/>
            <w:vAlign w:val="center"/>
          </w:tcPr>
          <w:p w14:paraId="4343B9E1">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142.5</w:t>
            </w:r>
          </w:p>
        </w:tc>
        <w:tc>
          <w:tcPr>
            <w:tcW w:w="0" w:type="auto"/>
            <w:tcBorders>
              <w:top w:val="single" w:color="000000" w:sz="4" w:space="0"/>
              <w:left w:val="nil"/>
              <w:bottom w:val="single" w:color="000000" w:sz="4" w:space="0"/>
              <w:right w:val="single" w:color="000000" w:sz="4" w:space="0"/>
            </w:tcBorders>
            <w:noWrap/>
            <w:vAlign w:val="center"/>
          </w:tcPr>
          <w:p w14:paraId="183EB53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141.5</w:t>
            </w:r>
          </w:p>
        </w:tc>
        <w:tc>
          <w:tcPr>
            <w:tcW w:w="0" w:type="auto"/>
            <w:tcBorders>
              <w:top w:val="single" w:color="000000" w:sz="4" w:space="0"/>
              <w:left w:val="nil"/>
              <w:bottom w:val="single" w:color="000000" w:sz="4" w:space="0"/>
              <w:right w:val="single" w:color="000000" w:sz="4" w:space="0"/>
            </w:tcBorders>
            <w:noWrap/>
            <w:vAlign w:val="center"/>
          </w:tcPr>
          <w:p w14:paraId="38BA0B71">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142.8</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5455C471">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142.27</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795E0D7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135.198</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2836CBEC">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-7.069 </w:t>
            </w:r>
          </w:p>
        </w:tc>
      </w:tr>
      <w:tr w14:paraId="21B14BE6">
        <w:tblPrEx>
          <w:tblCellMar>
            <w:top w:w="0" w:type="dxa"/>
            <w:left w:w="108" w:type="dxa"/>
            <w:bottom w:w="0" w:type="dxa"/>
            <w:right w:w="108" w:type="dxa"/>
          </w:tblCellMar>
        </w:tblPrEx>
        <w:trPr>
          <w:trHeight w:val="466"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568BD">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H:L=2:3</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1C6FD748">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100（L）+150（H）</w:t>
            </w:r>
          </w:p>
        </w:tc>
        <w:tc>
          <w:tcPr>
            <w:tcW w:w="0" w:type="auto"/>
            <w:tcBorders>
              <w:top w:val="single" w:color="000000" w:sz="4" w:space="0"/>
              <w:left w:val="nil"/>
              <w:bottom w:val="single" w:color="000000" w:sz="4" w:space="0"/>
              <w:right w:val="single" w:color="000000" w:sz="4" w:space="0"/>
            </w:tcBorders>
            <w:noWrap/>
            <w:vAlign w:val="center"/>
          </w:tcPr>
          <w:p w14:paraId="09A2969D">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95.4</w:t>
            </w:r>
          </w:p>
        </w:tc>
        <w:tc>
          <w:tcPr>
            <w:tcW w:w="0" w:type="auto"/>
            <w:tcBorders>
              <w:top w:val="single" w:color="000000" w:sz="4" w:space="0"/>
              <w:left w:val="nil"/>
              <w:bottom w:val="single" w:color="000000" w:sz="4" w:space="0"/>
              <w:right w:val="single" w:color="000000" w:sz="4" w:space="0"/>
            </w:tcBorders>
            <w:noWrap/>
            <w:vAlign w:val="center"/>
          </w:tcPr>
          <w:p w14:paraId="3D78B404">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95.1</w:t>
            </w:r>
          </w:p>
        </w:tc>
        <w:tc>
          <w:tcPr>
            <w:tcW w:w="0" w:type="auto"/>
            <w:tcBorders>
              <w:top w:val="single" w:color="000000" w:sz="4" w:space="0"/>
              <w:left w:val="nil"/>
              <w:bottom w:val="single" w:color="000000" w:sz="4" w:space="0"/>
              <w:right w:val="single" w:color="000000" w:sz="4" w:space="0"/>
            </w:tcBorders>
            <w:noWrap/>
            <w:vAlign w:val="center"/>
          </w:tcPr>
          <w:p w14:paraId="5A9ED305">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94.2</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1A12514B">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94.90</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4BC561FE">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90.132</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6E4D2C81">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-4.768 </w:t>
            </w:r>
          </w:p>
        </w:tc>
      </w:tr>
      <w:tr w14:paraId="051800FA">
        <w:tblPrEx>
          <w:tblCellMar>
            <w:top w:w="0" w:type="dxa"/>
            <w:left w:w="108" w:type="dxa"/>
            <w:bottom w:w="0" w:type="dxa"/>
            <w:right w:w="108" w:type="dxa"/>
          </w:tblCellMar>
        </w:tblPrEx>
        <w:trPr>
          <w:trHeight w:val="466"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B973EC">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H:L=1:4</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4AA0F58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50（L）+200（H）</w:t>
            </w:r>
          </w:p>
        </w:tc>
        <w:tc>
          <w:tcPr>
            <w:tcW w:w="0" w:type="auto"/>
            <w:tcBorders>
              <w:top w:val="single" w:color="000000" w:sz="4" w:space="0"/>
              <w:left w:val="nil"/>
              <w:bottom w:val="single" w:color="000000" w:sz="4" w:space="0"/>
              <w:right w:val="single" w:color="000000" w:sz="4" w:space="0"/>
            </w:tcBorders>
            <w:noWrap/>
            <w:vAlign w:val="center"/>
          </w:tcPr>
          <w:p w14:paraId="1BF74EBA">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45.6</w:t>
            </w:r>
          </w:p>
        </w:tc>
        <w:tc>
          <w:tcPr>
            <w:tcW w:w="0" w:type="auto"/>
            <w:tcBorders>
              <w:top w:val="single" w:color="000000" w:sz="4" w:space="0"/>
              <w:left w:val="nil"/>
              <w:bottom w:val="single" w:color="000000" w:sz="4" w:space="0"/>
              <w:right w:val="single" w:color="000000" w:sz="4" w:space="0"/>
            </w:tcBorders>
            <w:noWrap/>
            <w:vAlign w:val="center"/>
          </w:tcPr>
          <w:p w14:paraId="7993E885">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44.6</w:t>
            </w:r>
          </w:p>
        </w:tc>
        <w:tc>
          <w:tcPr>
            <w:tcW w:w="0" w:type="auto"/>
            <w:tcBorders>
              <w:top w:val="single" w:color="000000" w:sz="4" w:space="0"/>
              <w:left w:val="nil"/>
              <w:bottom w:val="single" w:color="000000" w:sz="4" w:space="0"/>
              <w:right w:val="single" w:color="000000" w:sz="4" w:space="0"/>
            </w:tcBorders>
            <w:noWrap/>
            <w:vAlign w:val="center"/>
          </w:tcPr>
          <w:p w14:paraId="3A4C23F0">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45.3</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160B7E24">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45.17</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51F2D749">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45.066</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6C39EBCD">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-0.101 </w:t>
            </w:r>
          </w:p>
        </w:tc>
      </w:tr>
      <w:tr w14:paraId="52F89819">
        <w:tblPrEx>
          <w:tblCellMar>
            <w:top w:w="0" w:type="dxa"/>
            <w:left w:w="108" w:type="dxa"/>
            <w:bottom w:w="0" w:type="dxa"/>
            <w:right w:w="108" w:type="dxa"/>
          </w:tblCellMar>
        </w:tblPrEx>
        <w:trPr>
          <w:trHeight w:val="475" w:hRule="atLeast"/>
        </w:trPr>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A20B6">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L</w:t>
            </w:r>
          </w:p>
        </w:tc>
        <w:tc>
          <w:tcPr>
            <w:tcW w:w="1936" w:type="dxa"/>
            <w:tcBorders>
              <w:top w:val="single" w:color="000000" w:sz="4" w:space="0"/>
              <w:left w:val="nil"/>
              <w:bottom w:val="single" w:color="000000" w:sz="4" w:space="0"/>
              <w:right w:val="single" w:color="000000" w:sz="4" w:space="0"/>
            </w:tcBorders>
            <w:shd w:val="clear" w:color="auto" w:fill="FFFFFF"/>
            <w:vAlign w:val="center"/>
          </w:tcPr>
          <w:p w14:paraId="24F587D6">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200uL（L）</w:t>
            </w:r>
          </w:p>
        </w:tc>
        <w:tc>
          <w:tcPr>
            <w:tcW w:w="0" w:type="auto"/>
            <w:tcBorders>
              <w:top w:val="single" w:color="000000" w:sz="4" w:space="0"/>
              <w:left w:val="nil"/>
              <w:bottom w:val="single" w:color="000000" w:sz="4" w:space="0"/>
              <w:right w:val="single" w:color="000000" w:sz="4" w:space="0"/>
            </w:tcBorders>
            <w:noWrap/>
            <w:vAlign w:val="center"/>
          </w:tcPr>
          <w:p w14:paraId="7A68EC8A">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3.1</w:t>
            </w:r>
          </w:p>
        </w:tc>
        <w:tc>
          <w:tcPr>
            <w:tcW w:w="0" w:type="auto"/>
            <w:tcBorders>
              <w:top w:val="single" w:color="000000" w:sz="4" w:space="0"/>
              <w:left w:val="nil"/>
              <w:bottom w:val="single" w:color="000000" w:sz="4" w:space="0"/>
              <w:right w:val="single" w:color="000000" w:sz="4" w:space="0"/>
            </w:tcBorders>
            <w:noWrap/>
            <w:vAlign w:val="center"/>
          </w:tcPr>
          <w:p w14:paraId="26475522">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3.2</w:t>
            </w:r>
          </w:p>
        </w:tc>
        <w:tc>
          <w:tcPr>
            <w:tcW w:w="0" w:type="auto"/>
            <w:tcBorders>
              <w:top w:val="single" w:color="000000" w:sz="4" w:space="0"/>
              <w:left w:val="nil"/>
              <w:bottom w:val="single" w:color="000000" w:sz="4" w:space="0"/>
              <w:right w:val="single" w:color="000000" w:sz="4" w:space="0"/>
            </w:tcBorders>
            <w:noWrap/>
            <w:vAlign w:val="center"/>
          </w:tcPr>
          <w:p w14:paraId="1999BB84">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3.3</w:t>
            </w:r>
          </w:p>
        </w:tc>
        <w:tc>
          <w:tcPr>
            <w:tcW w:w="1099" w:type="dxa"/>
            <w:tcBorders>
              <w:top w:val="single" w:color="000000" w:sz="4" w:space="0"/>
              <w:left w:val="nil"/>
              <w:bottom w:val="single" w:color="000000" w:sz="4" w:space="0"/>
              <w:right w:val="single" w:color="000000" w:sz="4" w:space="0"/>
            </w:tcBorders>
            <w:shd w:val="clear" w:color="auto" w:fill="FFFFFF"/>
            <w:vAlign w:val="center"/>
          </w:tcPr>
          <w:p w14:paraId="39BB7957">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3.20</w:t>
            </w:r>
          </w:p>
        </w:tc>
        <w:tc>
          <w:tcPr>
            <w:tcW w:w="1098" w:type="dxa"/>
            <w:tcBorders>
              <w:top w:val="single" w:color="000000" w:sz="4" w:space="0"/>
              <w:left w:val="nil"/>
              <w:bottom w:val="single" w:color="000000" w:sz="4" w:space="0"/>
              <w:right w:val="single" w:color="000000" w:sz="4" w:space="0"/>
            </w:tcBorders>
            <w:shd w:val="clear" w:color="auto" w:fill="FFFFFF"/>
            <w:vAlign w:val="center"/>
          </w:tcPr>
          <w:p w14:paraId="682AD5E5">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0.65</w:t>
            </w:r>
          </w:p>
        </w:tc>
        <w:tc>
          <w:tcPr>
            <w:tcW w:w="1103" w:type="dxa"/>
            <w:tcBorders>
              <w:top w:val="single" w:color="000000" w:sz="4" w:space="0"/>
              <w:left w:val="nil"/>
              <w:bottom w:val="single" w:color="000000" w:sz="4" w:space="0"/>
              <w:right w:val="single" w:color="000000" w:sz="4" w:space="0"/>
            </w:tcBorders>
            <w:shd w:val="clear" w:color="auto" w:fill="FFFFFF"/>
            <w:vAlign w:val="center"/>
          </w:tcPr>
          <w:p w14:paraId="4E5CA37C">
            <w:pPr>
              <w:widowControl/>
              <w:spacing w:line="36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2"/>
                <w:szCs w:val="22"/>
              </w:rPr>
              <w:t xml:space="preserve">-2.550 </w:t>
            </w:r>
          </w:p>
        </w:tc>
      </w:tr>
    </w:tbl>
    <w:p w14:paraId="5464599F">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8CEF8F0">
      <w:pPr>
        <w:spacing w:line="240" w:lineRule="auto"/>
        <w:ind w:firstLine="420" w:firstLineChars="200"/>
        <w:jc w:val="center"/>
        <w:rPr>
          <w:rFonts w:ascii="仿宋_GB2312" w:eastAsia="仿宋_GB2312"/>
          <w:color w:val="000000" w:themeColor="text1"/>
          <w:sz w:val="32"/>
          <w:szCs w:val="32"/>
          <w14:textFill>
            <w14:solidFill>
              <w14:schemeClr w14:val="tx1"/>
            </w14:solidFill>
          </w14:textFill>
        </w:rPr>
      </w:pPr>
      <w:r>
        <w:drawing>
          <wp:inline distT="0" distB="0" distL="114300" distR="114300">
            <wp:extent cx="3011170" cy="1807845"/>
            <wp:effectExtent l="0" t="0" r="177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011170" cy="1807845"/>
                    </a:xfrm>
                    <a:prstGeom prst="rect">
                      <a:avLst/>
                    </a:prstGeom>
                    <a:noFill/>
                    <a:ln>
                      <a:noFill/>
                    </a:ln>
                  </pic:spPr>
                </pic:pic>
              </a:graphicData>
            </a:graphic>
          </wp:inline>
        </w:drawing>
      </w:r>
    </w:p>
    <w:p w14:paraId="5A2C47F3">
      <w:pPr>
        <w:spacing w:line="520" w:lineRule="exact"/>
        <w:ind w:firstLine="640" w:firstLineChars="200"/>
        <w:jc w:val="center"/>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图1  回归曲线</w:t>
      </w:r>
    </w:p>
    <w:p w14:paraId="02323C50">
      <w:pPr>
        <w:spacing w:line="520" w:lineRule="exact"/>
        <w:ind w:firstLine="640" w:firstLineChars="200"/>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结论：亚辉龙肺炎衣原体IgG测定试剂盒（化学发光法）分析测量范围验证结果为：在3</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200 AU/mL范围内线性相关系数R</w:t>
      </w:r>
      <w:r>
        <w:rPr>
          <w:rFonts w:hint="eastAsia" w:ascii="仿宋_GB2312" w:eastAsia="仿宋_GB2312"/>
          <w:color w:val="000000" w:themeColor="text1"/>
          <w:sz w:val="32"/>
          <w:szCs w:val="32"/>
          <w:vertAlign w:val="superscript"/>
          <w:lang w:val="en-US" w:eastAsia="zh-CN"/>
          <w14:textFill>
            <w14:solidFill>
              <w14:schemeClr w14:val="tx1"/>
            </w14:solidFill>
          </w14:textFill>
        </w:rPr>
        <w:t>2</w:t>
      </w:r>
      <w:r>
        <w:rPr>
          <w:rFonts w:hint="eastAsia" w:ascii="仿宋_GB2312" w:eastAsia="仿宋_GB2312"/>
          <w:color w:val="000000" w:themeColor="text1"/>
          <w:sz w:val="32"/>
          <w:szCs w:val="32"/>
          <w:lang w:val="en-US" w:eastAsia="zh-CN"/>
          <w14:textFill>
            <w14:solidFill>
              <w14:schemeClr w14:val="tx1"/>
            </w14:solidFill>
          </w14:textFill>
        </w:rPr>
        <w:t>=0.9988，k= 0.9944，符合要求。</w:t>
      </w:r>
    </w:p>
    <w:p w14:paraId="16B3EDE5">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4.参考范围</w:t>
      </w:r>
    </w:p>
    <w:p w14:paraId="7494DDD2">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收集20例健康人血清标本及时检测</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用亚辉龙发光检测，记录结果。要求</w:t>
      </w:r>
      <w:r>
        <w:rPr>
          <w:rFonts w:hint="eastAsia" w:ascii="仿宋_GB2312" w:eastAsia="仿宋_GB2312"/>
          <w:color w:val="000000" w:themeColor="text1"/>
          <w:sz w:val="32"/>
          <w:szCs w:val="32"/>
          <w:lang w:val="en-US" w:eastAsia="zh-CN"/>
          <w14:textFill>
            <w14:solidFill>
              <w14:schemeClr w14:val="tx1"/>
            </w14:solidFill>
          </w14:textFill>
        </w:rPr>
        <w:t>样本</w:t>
      </w:r>
      <w:r>
        <w:rPr>
          <w:rFonts w:hint="eastAsia" w:ascii="仿宋_GB2312" w:eastAsia="仿宋_GB2312"/>
          <w:color w:val="000000" w:themeColor="text1"/>
          <w:sz w:val="32"/>
          <w:szCs w:val="32"/>
          <w14:textFill>
            <w14:solidFill>
              <w14:schemeClr w14:val="tx1"/>
            </w14:solidFill>
          </w14:textFill>
        </w:rPr>
        <w:t>年龄，性别等均匀分布，对参考范围进行验证，只允许5%的数据超过所验证的参考范围。验证依据</w:t>
      </w:r>
      <w:r>
        <w:rPr>
          <w:rFonts w:hint="eastAsia" w:ascii="仿宋_GB2312" w:eastAsia="仿宋_GB2312"/>
          <w:color w:val="000000" w:themeColor="text1"/>
          <w:sz w:val="32"/>
          <w:szCs w:val="32"/>
          <w:lang w:val="en-US" w:eastAsia="zh-CN"/>
          <w14:textFill>
            <w14:solidFill>
              <w14:schemeClr w14:val="tx1"/>
            </w14:solidFill>
          </w14:textFill>
        </w:rPr>
        <w:t>为</w:t>
      </w:r>
      <w:r>
        <w:rPr>
          <w:rFonts w:hint="eastAsia" w:ascii="仿宋_GB2312" w:eastAsia="仿宋_GB2312"/>
          <w:color w:val="000000" w:themeColor="text1"/>
          <w:sz w:val="32"/>
          <w:szCs w:val="32"/>
          <w14:textFill>
            <w14:solidFill>
              <w14:schemeClr w14:val="tx1"/>
            </w14:solidFill>
          </w14:textFill>
        </w:rPr>
        <w:t>《CNAS-GL037：2019 临床化学定量检验程序性能验证指南》</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参考范围</w:t>
      </w:r>
      <w:r>
        <w:rPr>
          <w:rFonts w:hint="eastAsia" w:ascii="仿宋_GB2312" w:eastAsia="仿宋_GB2312"/>
          <w:color w:val="000000" w:themeColor="text1"/>
          <w:sz w:val="32"/>
          <w:szCs w:val="32"/>
          <w14:textFill>
            <w14:solidFill>
              <w14:schemeClr w14:val="tx1"/>
            </w14:solidFill>
          </w14:textFill>
        </w:rPr>
        <w:t>验证数据见表</w:t>
      </w:r>
      <w:r>
        <w:rPr>
          <w:rFonts w:hint="eastAsia" w:ascii="仿宋_GB2312" w:eastAsia="仿宋_GB2312"/>
          <w:color w:val="000000" w:themeColor="text1"/>
          <w:sz w:val="32"/>
          <w:szCs w:val="32"/>
          <w:lang w:val="en-US" w:eastAsia="zh-CN"/>
          <w14:textFill>
            <w14:solidFill>
              <w14:schemeClr w14:val="tx1"/>
            </w14:solidFill>
          </w14:textFill>
        </w:rPr>
        <w:t>4。</w:t>
      </w:r>
    </w:p>
    <w:p w14:paraId="0E0EBEA6">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w:t>
      </w:r>
      <w:r>
        <w:rPr>
          <w:rFonts w:hint="eastAsia" w:ascii="仿宋_GB2312" w:eastAsia="仿宋_GB2312"/>
          <w:color w:val="000000" w:themeColor="text1"/>
          <w:sz w:val="22"/>
          <w:szCs w:val="22"/>
          <w:lang w:val="en-US" w:eastAsia="zh-CN"/>
          <w14:textFill>
            <w14:solidFill>
              <w14:schemeClr w14:val="tx1"/>
            </w14:solidFill>
          </w14:textFill>
        </w:rPr>
        <w:t>4  参考范围</w:t>
      </w:r>
      <w:r>
        <w:rPr>
          <w:rFonts w:hint="eastAsia" w:ascii="仿宋_GB2312" w:eastAsia="仿宋_GB2312"/>
          <w:color w:val="000000" w:themeColor="text1"/>
          <w:sz w:val="22"/>
          <w:szCs w:val="22"/>
          <w14:textFill>
            <w14:solidFill>
              <w14:schemeClr w14:val="tx1"/>
            </w14:solidFill>
          </w14:textFill>
        </w:rPr>
        <w:t>验证数据</w:t>
      </w:r>
    </w:p>
    <w:tbl>
      <w:tblPr>
        <w:tblStyle w:val="1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70"/>
        <w:gridCol w:w="3833"/>
        <w:gridCol w:w="2569"/>
      </w:tblGrid>
      <w:tr w14:paraId="0D89B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7"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30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B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结果（AU/ML）</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27C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符合状态</w:t>
            </w:r>
          </w:p>
        </w:tc>
      </w:tr>
      <w:tr w14:paraId="17628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322D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9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43.4</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45A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74EE8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A9BA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84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63.8</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26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77EC4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3864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96A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&lt;3.0</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2B2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56003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C6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A7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135.2</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8B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168CE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EC55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DF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8C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6068D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B44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04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78.3</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34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108DA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93D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D8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93B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21778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1ED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C2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154.5</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E6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07FF3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B7C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28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61.9</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DF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5178D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DAA0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A3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7D21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32CBB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23F8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E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115.9</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9E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54475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044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9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9F3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32D21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EB65D">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BD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72.7</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6F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5807D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CD4C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E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67.4</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B2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40A61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CB3C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B3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7A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5D79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256E3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507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&lt;3.0</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7C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110EC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2FA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D9D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172.5</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6F3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6862C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6A2B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18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7DB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3D085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C31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5C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47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5AFF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4BA8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20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97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39.6</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C3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7051A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C55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参考区间</w:t>
            </w:r>
          </w:p>
        </w:tc>
        <w:tc>
          <w:tcPr>
            <w:tcW w:w="34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B2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0-25</w:t>
            </w:r>
          </w:p>
        </w:tc>
      </w:tr>
      <w:tr w14:paraId="1305F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9D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超限样本</w:t>
            </w:r>
          </w:p>
        </w:tc>
        <w:tc>
          <w:tcPr>
            <w:tcW w:w="34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2F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r>
      <w:tr w14:paraId="18C0C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3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符合率</w:t>
            </w:r>
          </w:p>
        </w:tc>
        <w:tc>
          <w:tcPr>
            <w:tcW w:w="34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33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r>
    </w:tbl>
    <w:p w14:paraId="7A042DBB">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大众人群间阳性率大致为70%，该结果符合。</w:t>
      </w:r>
    </w:p>
    <w:p w14:paraId="776DF53E">
      <w:pPr>
        <w:tabs>
          <w:tab w:val="center" w:pos="4201"/>
          <w:tab w:val="right" w:leader="dot" w:pos="9298"/>
        </w:tabs>
        <w:autoSpaceDE w:val="0"/>
        <w:autoSpaceDN w:val="0"/>
        <w:spacing w:line="560" w:lineRule="exact"/>
        <w:ind w:firstLine="643" w:firstLineChars="200"/>
        <w:outlineLvl w:val="1"/>
        <w:rPr>
          <w:rFonts w:hint="default" w:ascii="Times New Roman" w:hAnsi="Times New Roman" w:eastAsia="楷体" w:cs="Times New Roman"/>
          <w:b/>
          <w:bCs/>
          <w:color w:val="000000" w:themeColor="text1"/>
          <w:kern w:val="0"/>
          <w:sz w:val="32"/>
          <w:szCs w:val="32"/>
          <w:lang w:val="en-US" w:eastAsia="zh-CN"/>
          <w14:textFill>
            <w14:solidFill>
              <w14:schemeClr w14:val="tx1"/>
            </w14:solidFill>
          </w14:textFill>
        </w:rPr>
      </w:pPr>
      <w:r>
        <w:rPr>
          <w:rFonts w:hint="eastAsia" w:ascii="Times New Roman" w:hAnsi="Times New Roman" w:eastAsia="楷体" w:cs="Times New Roman"/>
          <w:b/>
          <w:bCs/>
          <w:color w:val="000000" w:themeColor="text1"/>
          <w:kern w:val="0"/>
          <w:sz w:val="32"/>
          <w:szCs w:val="32"/>
          <w:lang w:eastAsia="zh-CN"/>
          <w14:textFill>
            <w14:solidFill>
              <w14:schemeClr w14:val="tx1"/>
            </w14:solidFill>
          </w14:textFill>
        </w:rPr>
        <w:t>（</w:t>
      </w:r>
      <w:r>
        <w:rPr>
          <w:rFonts w:hint="eastAsia" w:ascii="Times New Roman" w:hAnsi="Times New Roman" w:eastAsia="楷体" w:cs="Times New Roman"/>
          <w:b/>
          <w:bCs/>
          <w:color w:val="000000" w:themeColor="text1"/>
          <w:kern w:val="0"/>
          <w:sz w:val="32"/>
          <w:szCs w:val="32"/>
          <w:lang w:val="en-US" w:eastAsia="zh-CN"/>
          <w14:textFill>
            <w14:solidFill>
              <w14:schemeClr w14:val="tx1"/>
            </w14:solidFill>
          </w14:textFill>
        </w:rPr>
        <w:t>八</w:t>
      </w:r>
      <w:r>
        <w:rPr>
          <w:rFonts w:hint="eastAsia" w:ascii="Times New Roman" w:hAnsi="Times New Roman" w:eastAsia="楷体" w:cs="Times New Roman"/>
          <w:b/>
          <w:bCs/>
          <w:color w:val="000000" w:themeColor="text1"/>
          <w:kern w:val="0"/>
          <w:sz w:val="32"/>
          <w:szCs w:val="32"/>
          <w:lang w:eastAsia="zh-CN"/>
          <w14:textFill>
            <w14:solidFill>
              <w14:schemeClr w14:val="tx1"/>
            </w14:solidFill>
          </w14:textFill>
        </w:rPr>
        <w:t>）</w:t>
      </w:r>
      <w:r>
        <w:rPr>
          <w:rFonts w:hint="eastAsia" w:ascii="Times New Roman" w:hAnsi="Times New Roman" w:eastAsia="楷体" w:cs="Times New Roman"/>
          <w:b/>
          <w:bCs/>
          <w:color w:val="000000" w:themeColor="text1"/>
          <w:kern w:val="0"/>
          <w:sz w:val="32"/>
          <w:szCs w:val="32"/>
          <w14:textFill>
            <w14:solidFill>
              <w14:schemeClr w14:val="tx1"/>
            </w14:solidFill>
          </w14:textFill>
        </w:rPr>
        <w:t>肺炎支原体IgG</w:t>
      </w:r>
      <w:r>
        <w:rPr>
          <w:rFonts w:hint="eastAsia" w:ascii="Times New Roman" w:hAnsi="Times New Roman" w:eastAsia="楷体" w:cs="Times New Roman"/>
          <w:b/>
          <w:bCs/>
          <w:color w:val="000000" w:themeColor="text1"/>
          <w:kern w:val="0"/>
          <w:sz w:val="32"/>
          <w:szCs w:val="32"/>
          <w:lang w:val="en-US" w:eastAsia="zh-CN"/>
          <w14:textFill>
            <w14:solidFill>
              <w14:schemeClr w14:val="tx1"/>
            </w14:solidFill>
          </w14:textFill>
        </w:rPr>
        <w:t>验证总结</w:t>
      </w:r>
    </w:p>
    <w:p w14:paraId="506650BF">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综合上述</w:t>
      </w:r>
      <w:r>
        <w:rPr>
          <w:rFonts w:hint="eastAsia" w:ascii="仿宋_GB2312" w:eastAsia="仿宋_GB2312"/>
          <w:color w:val="000000" w:themeColor="text1"/>
          <w:sz w:val="32"/>
          <w:szCs w:val="32"/>
          <w14:textFill>
            <w14:solidFill>
              <w14:schemeClr w14:val="tx1"/>
            </w14:solidFill>
          </w14:textFill>
        </w:rPr>
        <w:t>精密度</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符合率、</w:t>
      </w:r>
      <w:r>
        <w:rPr>
          <w:rFonts w:hint="eastAsia" w:ascii="仿宋_GB2312" w:eastAsia="仿宋_GB2312"/>
          <w:color w:val="000000" w:themeColor="text1"/>
          <w:sz w:val="32"/>
          <w:szCs w:val="32"/>
          <w14:textFill>
            <w14:solidFill>
              <w14:schemeClr w14:val="tx1"/>
            </w14:solidFill>
          </w14:textFill>
        </w:rPr>
        <w:t>线性范围</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参考范围，得到验证汇总结果</w:t>
      </w:r>
      <w:r>
        <w:rPr>
          <w:rFonts w:hint="eastAsia" w:ascii="仿宋_GB2312" w:eastAsia="仿宋_GB2312"/>
          <w:color w:val="000000" w:themeColor="text1"/>
          <w:sz w:val="32"/>
          <w:szCs w:val="32"/>
          <w:lang w:val="en-US" w:eastAsia="zh-CN"/>
          <w14:textFill>
            <w14:solidFill>
              <w14:schemeClr w14:val="tx1"/>
            </w14:solidFill>
          </w14:textFill>
        </w:rPr>
        <w:t>见表5。</w:t>
      </w:r>
    </w:p>
    <w:p w14:paraId="003487BB">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lang w:val="en-US" w:eastAsia="zh-CN"/>
          <w14:textFill>
            <w14:solidFill>
              <w14:schemeClr w14:val="tx1"/>
            </w14:solidFill>
          </w14:textFill>
        </w:rPr>
        <w:t>表5  验证汇总结果</w:t>
      </w:r>
    </w:p>
    <w:tbl>
      <w:tblPr>
        <w:tblStyle w:val="17"/>
        <w:tblpPr w:leftFromText="180" w:rightFromText="180" w:vertAnchor="text" w:horzAnchor="margin" w:tblpXSpec="center" w:tblpY="209"/>
        <w:tblW w:w="4997" w:type="pct"/>
        <w:tblInd w:w="0" w:type="dxa"/>
        <w:tblLayout w:type="autofit"/>
        <w:tblCellMar>
          <w:top w:w="0" w:type="dxa"/>
          <w:left w:w="108" w:type="dxa"/>
          <w:bottom w:w="0" w:type="dxa"/>
          <w:right w:w="108" w:type="dxa"/>
        </w:tblCellMar>
      </w:tblPr>
      <w:tblGrid>
        <w:gridCol w:w="1318"/>
        <w:gridCol w:w="2143"/>
        <w:gridCol w:w="3865"/>
        <w:gridCol w:w="1842"/>
      </w:tblGrid>
      <w:tr w14:paraId="4187CBD1">
        <w:tblPrEx>
          <w:tblCellMar>
            <w:top w:w="0" w:type="dxa"/>
            <w:left w:w="108" w:type="dxa"/>
            <w:bottom w:w="0" w:type="dxa"/>
            <w:right w:w="108" w:type="dxa"/>
          </w:tblCellMar>
        </w:tblPrEx>
        <w:trPr>
          <w:trHeight w:val="799" w:hRule="atLeast"/>
        </w:trPr>
        <w:tc>
          <w:tcPr>
            <w:tcW w:w="719" w:type="pct"/>
            <w:tcBorders>
              <w:top w:val="single" w:color="auto" w:sz="4" w:space="0"/>
              <w:left w:val="single" w:color="auto" w:sz="4" w:space="0"/>
              <w:bottom w:val="single" w:color="auto" w:sz="4" w:space="0"/>
              <w:right w:val="single" w:color="auto" w:sz="4" w:space="0"/>
            </w:tcBorders>
            <w:vAlign w:val="center"/>
          </w:tcPr>
          <w:p w14:paraId="04E6340D">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验证指标</w:t>
            </w:r>
          </w:p>
        </w:tc>
        <w:tc>
          <w:tcPr>
            <w:tcW w:w="1168" w:type="pct"/>
            <w:tcBorders>
              <w:top w:val="single" w:color="auto" w:sz="4" w:space="0"/>
              <w:left w:val="nil"/>
              <w:bottom w:val="single" w:color="auto" w:sz="4" w:space="0"/>
              <w:right w:val="single" w:color="auto" w:sz="4" w:space="0"/>
            </w:tcBorders>
            <w:vAlign w:val="center"/>
          </w:tcPr>
          <w:p w14:paraId="720FCC85">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标准</w:t>
            </w:r>
          </w:p>
        </w:tc>
        <w:tc>
          <w:tcPr>
            <w:tcW w:w="2107" w:type="pct"/>
            <w:tcBorders>
              <w:top w:val="single" w:color="auto" w:sz="4" w:space="0"/>
              <w:left w:val="nil"/>
              <w:bottom w:val="single" w:color="auto" w:sz="4" w:space="0"/>
              <w:right w:val="single" w:color="auto" w:sz="4" w:space="0"/>
            </w:tcBorders>
            <w:vAlign w:val="center"/>
          </w:tcPr>
          <w:p w14:paraId="4E004A5C">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验证结果</w:t>
            </w:r>
          </w:p>
        </w:tc>
        <w:tc>
          <w:tcPr>
            <w:tcW w:w="1004" w:type="pct"/>
            <w:tcBorders>
              <w:top w:val="single" w:color="auto" w:sz="4" w:space="0"/>
              <w:left w:val="nil"/>
              <w:bottom w:val="single" w:color="auto" w:sz="4" w:space="0"/>
              <w:right w:val="single" w:color="auto" w:sz="4" w:space="0"/>
            </w:tcBorders>
            <w:vAlign w:val="center"/>
          </w:tcPr>
          <w:p w14:paraId="7D817777">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结论</w:t>
            </w:r>
          </w:p>
        </w:tc>
      </w:tr>
      <w:tr w14:paraId="255FBD33">
        <w:tblPrEx>
          <w:tblCellMar>
            <w:top w:w="0" w:type="dxa"/>
            <w:left w:w="108" w:type="dxa"/>
            <w:bottom w:w="0" w:type="dxa"/>
            <w:right w:w="108" w:type="dxa"/>
          </w:tblCellMar>
        </w:tblPrEx>
        <w:trPr>
          <w:trHeight w:val="799" w:hRule="atLeast"/>
        </w:trPr>
        <w:tc>
          <w:tcPr>
            <w:tcW w:w="719" w:type="pct"/>
            <w:tcBorders>
              <w:top w:val="single" w:color="auto" w:sz="4" w:space="0"/>
              <w:left w:val="single" w:color="auto" w:sz="4" w:space="0"/>
              <w:bottom w:val="single" w:color="auto" w:sz="4" w:space="0"/>
              <w:right w:val="single" w:color="auto" w:sz="4" w:space="0"/>
            </w:tcBorders>
            <w:vAlign w:val="center"/>
          </w:tcPr>
          <w:p w14:paraId="7CB99589">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精密度</w:t>
            </w:r>
          </w:p>
        </w:tc>
        <w:tc>
          <w:tcPr>
            <w:tcW w:w="1168" w:type="pct"/>
            <w:tcBorders>
              <w:top w:val="single" w:color="auto" w:sz="4" w:space="0"/>
              <w:left w:val="nil"/>
              <w:bottom w:val="single" w:color="auto" w:sz="4" w:space="0"/>
              <w:right w:val="single" w:color="auto" w:sz="4" w:space="0"/>
            </w:tcBorders>
            <w:vAlign w:val="center"/>
          </w:tcPr>
          <w:p w14:paraId="45E7C22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CV% ≤15%</w:t>
            </w:r>
          </w:p>
        </w:tc>
        <w:tc>
          <w:tcPr>
            <w:tcW w:w="2107" w:type="pct"/>
            <w:tcBorders>
              <w:top w:val="single" w:color="auto" w:sz="4" w:space="0"/>
              <w:left w:val="nil"/>
              <w:bottom w:val="single" w:color="auto" w:sz="4" w:space="0"/>
              <w:right w:val="single" w:color="auto" w:sz="4" w:space="0"/>
            </w:tcBorders>
            <w:vAlign w:val="center"/>
          </w:tcPr>
          <w:p w14:paraId="68DFB1A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水平1样品（CV%）为</w:t>
            </w:r>
            <w:r>
              <w:rPr>
                <w:rFonts w:hint="eastAsia" w:ascii="宋体" w:hAnsi="宋体" w:eastAsia="宋体" w:cs="宋体"/>
                <w:color w:val="000000"/>
                <w:kern w:val="0"/>
                <w:sz w:val="24"/>
                <w:szCs w:val="24"/>
                <w:lang w:val="en-US" w:eastAsia="zh-CN"/>
              </w:rPr>
              <w:t>1.716</w:t>
            </w:r>
            <w:r>
              <w:rPr>
                <w:rFonts w:hint="eastAsia" w:ascii="宋体" w:hAnsi="宋体" w:eastAsia="宋体" w:cs="宋体"/>
                <w:color w:val="000000"/>
                <w:kern w:val="0"/>
                <w:sz w:val="24"/>
                <w:szCs w:val="24"/>
              </w:rPr>
              <w:t>%</w:t>
            </w:r>
          </w:p>
          <w:p w14:paraId="584E4AC2">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水平2样品（CV%）为</w:t>
            </w:r>
            <w:r>
              <w:rPr>
                <w:rFonts w:hint="eastAsia" w:ascii="宋体" w:hAnsi="宋体" w:eastAsia="宋体" w:cs="宋体"/>
                <w:color w:val="000000"/>
                <w:kern w:val="0"/>
                <w:sz w:val="24"/>
                <w:szCs w:val="24"/>
                <w:lang w:val="en-US" w:eastAsia="zh-CN"/>
              </w:rPr>
              <w:t>1.743</w:t>
            </w:r>
            <w:r>
              <w:rPr>
                <w:rFonts w:hint="eastAsia" w:ascii="宋体" w:hAnsi="宋体" w:eastAsia="宋体" w:cs="宋体"/>
                <w:color w:val="000000"/>
                <w:kern w:val="0"/>
                <w:sz w:val="24"/>
                <w:szCs w:val="24"/>
              </w:rPr>
              <w:t>%</w:t>
            </w:r>
          </w:p>
          <w:p w14:paraId="709D47B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rPr>
              <w:t>样品（CV%）为</w:t>
            </w:r>
            <w:r>
              <w:rPr>
                <w:rFonts w:hint="eastAsia" w:ascii="宋体" w:hAnsi="宋体" w:eastAsia="宋体" w:cs="宋体"/>
                <w:color w:val="000000"/>
                <w:kern w:val="0"/>
                <w:sz w:val="24"/>
                <w:szCs w:val="24"/>
                <w:lang w:val="en-US" w:eastAsia="zh-CN"/>
              </w:rPr>
              <w:t>2.967</w:t>
            </w:r>
            <w:r>
              <w:rPr>
                <w:rFonts w:hint="eastAsia" w:ascii="宋体" w:hAnsi="宋体" w:eastAsia="宋体" w:cs="宋体"/>
                <w:color w:val="000000"/>
                <w:kern w:val="0"/>
                <w:sz w:val="24"/>
                <w:szCs w:val="24"/>
              </w:rPr>
              <w:t>%</w:t>
            </w:r>
          </w:p>
          <w:p w14:paraId="46D23764">
            <w:pPr>
              <w:widowControl/>
              <w:jc w:val="center"/>
              <w:rPr>
                <w:rFonts w:hint="eastAsia" w:ascii="宋体" w:hAnsi="宋体" w:eastAsia="宋体" w:cs="宋体"/>
                <w:bCs/>
                <w:kern w:val="0"/>
                <w:sz w:val="24"/>
                <w:szCs w:val="24"/>
                <w:u w:val="single"/>
              </w:rPr>
            </w:pPr>
            <w:r>
              <w:rPr>
                <w:rFonts w:hint="eastAsia" w:ascii="宋体" w:hAnsi="宋体" w:eastAsia="宋体" w:cs="宋体"/>
                <w:color w:val="000000"/>
                <w:kern w:val="0"/>
                <w:sz w:val="24"/>
                <w:szCs w:val="24"/>
              </w:rPr>
              <w:t>水平</w:t>
            </w:r>
            <w:r>
              <w:rPr>
                <w:rFonts w:hint="eastAsia" w:ascii="宋体" w:hAnsi="宋体" w:cs="宋体"/>
                <w:color w:val="000000"/>
                <w:kern w:val="0"/>
                <w:sz w:val="24"/>
                <w:szCs w:val="24"/>
                <w:lang w:val="en-US" w:eastAsia="zh-CN"/>
              </w:rPr>
              <w:t>4</w:t>
            </w:r>
            <w:r>
              <w:rPr>
                <w:rFonts w:hint="eastAsia" w:ascii="宋体" w:hAnsi="宋体" w:eastAsia="宋体" w:cs="宋体"/>
                <w:color w:val="000000"/>
                <w:kern w:val="0"/>
                <w:sz w:val="24"/>
                <w:szCs w:val="24"/>
              </w:rPr>
              <w:t>样品（CV%）为</w:t>
            </w:r>
            <w:r>
              <w:rPr>
                <w:rFonts w:hint="eastAsia" w:ascii="宋体" w:hAnsi="宋体" w:eastAsia="宋体" w:cs="宋体"/>
                <w:color w:val="000000"/>
                <w:kern w:val="0"/>
                <w:sz w:val="24"/>
                <w:szCs w:val="24"/>
                <w:lang w:val="en-US" w:eastAsia="zh-CN"/>
              </w:rPr>
              <w:t>2.198</w:t>
            </w:r>
            <w:r>
              <w:rPr>
                <w:rFonts w:hint="eastAsia" w:ascii="宋体" w:hAnsi="宋体" w:eastAsia="宋体" w:cs="宋体"/>
                <w:color w:val="000000"/>
                <w:kern w:val="0"/>
                <w:sz w:val="24"/>
                <w:szCs w:val="24"/>
              </w:rPr>
              <w:t>%</w:t>
            </w:r>
          </w:p>
        </w:tc>
        <w:tc>
          <w:tcPr>
            <w:tcW w:w="1004" w:type="pct"/>
            <w:tcBorders>
              <w:top w:val="single" w:color="auto" w:sz="4" w:space="0"/>
              <w:left w:val="nil"/>
              <w:bottom w:val="single" w:color="auto" w:sz="4" w:space="0"/>
              <w:right w:val="single" w:color="auto" w:sz="4" w:space="0"/>
            </w:tcBorders>
            <w:vAlign w:val="center"/>
          </w:tcPr>
          <w:p w14:paraId="679C63B2">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r w14:paraId="4E5C8635">
        <w:tblPrEx>
          <w:tblCellMar>
            <w:top w:w="0" w:type="dxa"/>
            <w:left w:w="108" w:type="dxa"/>
            <w:bottom w:w="0" w:type="dxa"/>
            <w:right w:w="108" w:type="dxa"/>
          </w:tblCellMar>
        </w:tblPrEx>
        <w:trPr>
          <w:trHeight w:val="575" w:hRule="atLeast"/>
        </w:trPr>
        <w:tc>
          <w:tcPr>
            <w:tcW w:w="719" w:type="pct"/>
            <w:tcBorders>
              <w:top w:val="single" w:color="auto" w:sz="4" w:space="0"/>
              <w:left w:val="single" w:color="auto" w:sz="4" w:space="0"/>
              <w:bottom w:val="single" w:color="auto" w:sz="4" w:space="0"/>
              <w:right w:val="single" w:color="auto" w:sz="4" w:space="0"/>
            </w:tcBorders>
            <w:vAlign w:val="center"/>
          </w:tcPr>
          <w:p w14:paraId="484F3924">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符合率</w:t>
            </w:r>
          </w:p>
        </w:tc>
        <w:tc>
          <w:tcPr>
            <w:tcW w:w="1168" w:type="pct"/>
            <w:tcBorders>
              <w:top w:val="single" w:color="auto" w:sz="4" w:space="0"/>
              <w:left w:val="nil"/>
              <w:bottom w:val="single" w:color="auto" w:sz="4" w:space="0"/>
              <w:right w:val="single" w:color="auto" w:sz="4" w:space="0"/>
            </w:tcBorders>
            <w:vAlign w:val="center"/>
          </w:tcPr>
          <w:p w14:paraId="4904744C">
            <w:pPr>
              <w:widowControl/>
              <w:jc w:val="center"/>
              <w:rPr>
                <w:rFonts w:hint="eastAsia" w:ascii="宋体" w:hAnsi="宋体" w:eastAsia="宋体" w:cs="宋体"/>
                <w:color w:val="000000"/>
                <w:kern w:val="0"/>
                <w:sz w:val="24"/>
                <w:szCs w:val="24"/>
              </w:rPr>
            </w:pPr>
            <w:r>
              <w:rPr>
                <w:rFonts w:hint="eastAsia" w:ascii="宋体" w:hAnsi="宋体" w:eastAsia="宋体" w:cs="宋体"/>
                <w:sz w:val="24"/>
                <w:szCs w:val="24"/>
              </w:rPr>
              <w:t>总符合性≧80%</w:t>
            </w:r>
          </w:p>
        </w:tc>
        <w:tc>
          <w:tcPr>
            <w:tcW w:w="2107" w:type="pct"/>
            <w:tcBorders>
              <w:top w:val="single" w:color="auto" w:sz="4" w:space="0"/>
              <w:left w:val="nil"/>
              <w:bottom w:val="single" w:color="auto" w:sz="4" w:space="0"/>
              <w:right w:val="single" w:color="auto" w:sz="4" w:space="0"/>
            </w:tcBorders>
            <w:vAlign w:val="center"/>
          </w:tcPr>
          <w:p w14:paraId="7504D05F">
            <w:pPr>
              <w:widowControl/>
              <w:jc w:val="center"/>
              <w:rPr>
                <w:rFonts w:hint="eastAsia" w:ascii="宋体" w:hAnsi="宋体" w:eastAsia="宋体" w:cs="宋体"/>
                <w:color w:val="000000"/>
                <w:kern w:val="0"/>
                <w:sz w:val="24"/>
                <w:szCs w:val="24"/>
              </w:rPr>
            </w:pPr>
            <w:r>
              <w:rPr>
                <w:rFonts w:hint="eastAsia" w:ascii="宋体" w:hAnsi="宋体" w:eastAsia="宋体" w:cs="宋体"/>
                <w:sz w:val="24"/>
                <w:szCs w:val="24"/>
              </w:rPr>
              <w:t>总符合性=100%</w:t>
            </w:r>
          </w:p>
        </w:tc>
        <w:tc>
          <w:tcPr>
            <w:tcW w:w="1004" w:type="pct"/>
            <w:tcBorders>
              <w:top w:val="single" w:color="auto" w:sz="4" w:space="0"/>
              <w:left w:val="nil"/>
              <w:bottom w:val="single" w:color="auto" w:sz="4" w:space="0"/>
              <w:right w:val="single" w:color="auto" w:sz="4" w:space="0"/>
            </w:tcBorders>
            <w:vAlign w:val="center"/>
          </w:tcPr>
          <w:p w14:paraId="5D27BBB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r w14:paraId="3EBFAF04">
        <w:tblPrEx>
          <w:tblCellMar>
            <w:top w:w="0" w:type="dxa"/>
            <w:left w:w="108" w:type="dxa"/>
            <w:bottom w:w="0" w:type="dxa"/>
            <w:right w:w="108" w:type="dxa"/>
          </w:tblCellMar>
        </w:tblPrEx>
        <w:trPr>
          <w:trHeight w:val="799" w:hRule="atLeast"/>
        </w:trPr>
        <w:tc>
          <w:tcPr>
            <w:tcW w:w="719" w:type="pct"/>
            <w:vMerge w:val="restart"/>
            <w:tcBorders>
              <w:top w:val="single" w:color="auto" w:sz="4" w:space="0"/>
              <w:left w:val="single" w:color="auto" w:sz="4" w:space="0"/>
              <w:bottom w:val="single" w:color="auto" w:sz="4" w:space="0"/>
              <w:right w:val="single" w:color="auto" w:sz="4" w:space="0"/>
            </w:tcBorders>
            <w:vAlign w:val="center"/>
          </w:tcPr>
          <w:p w14:paraId="693ED714">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线性范围</w:t>
            </w:r>
          </w:p>
        </w:tc>
        <w:tc>
          <w:tcPr>
            <w:tcW w:w="1168" w:type="pct"/>
            <w:vMerge w:val="restart"/>
            <w:tcBorders>
              <w:top w:val="single" w:color="auto" w:sz="4" w:space="0"/>
              <w:left w:val="single" w:color="auto" w:sz="4" w:space="0"/>
              <w:bottom w:val="single" w:color="auto" w:sz="4" w:space="0"/>
              <w:right w:val="single" w:color="auto" w:sz="4" w:space="0"/>
            </w:tcBorders>
            <w:vAlign w:val="center"/>
          </w:tcPr>
          <w:p w14:paraId="32BA07BC">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r≥0.9900，k在0.97～1.03范围内</w:t>
            </w:r>
          </w:p>
        </w:tc>
        <w:tc>
          <w:tcPr>
            <w:tcW w:w="2107" w:type="pct"/>
            <w:vMerge w:val="restart"/>
            <w:tcBorders>
              <w:top w:val="single" w:color="auto" w:sz="4" w:space="0"/>
              <w:left w:val="single" w:color="auto" w:sz="4" w:space="0"/>
              <w:bottom w:val="single" w:color="auto" w:sz="4" w:space="0"/>
              <w:right w:val="single" w:color="auto" w:sz="4" w:space="0"/>
            </w:tcBorders>
            <w:vAlign w:val="center"/>
          </w:tcPr>
          <w:p w14:paraId="089D8A36">
            <w:pPr>
              <w:widowControl/>
              <w:jc w:val="center"/>
              <w:rPr>
                <w:rFonts w:hint="eastAsia" w:ascii="宋体" w:hAnsi="宋体" w:eastAsia="宋体" w:cs="宋体"/>
                <w:color w:val="000000"/>
                <w:kern w:val="0"/>
                <w:sz w:val="24"/>
                <w:szCs w:val="24"/>
                <w:vertAlign w:val="superscript"/>
                <w:lang w:val="en-US"/>
              </w:rPr>
            </w:pPr>
            <w:r>
              <w:rPr>
                <w:rFonts w:hint="eastAsia" w:ascii="宋体" w:hAnsi="宋体" w:eastAsia="宋体" w:cs="宋体"/>
                <w:bCs/>
                <w:sz w:val="24"/>
                <w:szCs w:val="24"/>
              </w:rPr>
              <w:t>在</w:t>
            </w:r>
            <w:r>
              <w:rPr>
                <w:rFonts w:hint="eastAsia" w:ascii="宋体" w:hAnsi="宋体" w:eastAsia="宋体" w:cs="宋体"/>
                <w:bCs/>
                <w:strike w:val="0"/>
                <w:dstrike w:val="0"/>
                <w:kern w:val="0"/>
                <w:sz w:val="24"/>
                <w:szCs w:val="24"/>
                <w:u w:val="none"/>
                <w:lang w:val="en-US" w:eastAsia="zh-CN"/>
              </w:rPr>
              <w:t>2</w:t>
            </w:r>
            <w:r>
              <w:rPr>
                <w:rFonts w:hint="eastAsia" w:ascii="宋体" w:hAnsi="宋体" w:eastAsia="宋体" w:cs="宋体"/>
                <w:strike w:val="0"/>
                <w:dstrike w:val="0"/>
                <w:color w:val="000000"/>
                <w:kern w:val="0"/>
                <w:sz w:val="24"/>
                <w:szCs w:val="24"/>
                <w:u w:val="none"/>
              </w:rPr>
              <w:t>～</w:t>
            </w:r>
            <w:r>
              <w:rPr>
                <w:rFonts w:hint="eastAsia" w:ascii="宋体" w:hAnsi="宋体" w:eastAsia="宋体" w:cs="宋体"/>
                <w:bCs/>
                <w:strike w:val="0"/>
                <w:dstrike w:val="0"/>
                <w:kern w:val="0"/>
                <w:sz w:val="24"/>
                <w:szCs w:val="24"/>
                <w:u w:val="none"/>
                <w:lang w:val="en-US" w:eastAsia="zh-CN"/>
              </w:rPr>
              <w:t>300AU</w:t>
            </w:r>
            <w:r>
              <w:rPr>
                <w:rFonts w:hint="eastAsia" w:ascii="宋体" w:hAnsi="宋体" w:eastAsia="宋体" w:cs="宋体"/>
                <w:bCs/>
                <w:strike w:val="0"/>
                <w:dstrike w:val="0"/>
                <w:kern w:val="0"/>
                <w:sz w:val="24"/>
                <w:szCs w:val="24"/>
                <w:u w:val="none"/>
              </w:rPr>
              <w:t>/mL</w:t>
            </w:r>
            <w:r>
              <w:rPr>
                <w:rFonts w:hint="eastAsia" w:ascii="宋体" w:hAnsi="宋体" w:eastAsia="宋体" w:cs="宋体"/>
                <w:bCs/>
                <w:sz w:val="24"/>
                <w:szCs w:val="24"/>
              </w:rPr>
              <w:t>范围内线性相关系数，</w:t>
            </w:r>
            <w:r>
              <w:rPr>
                <w:rFonts w:hint="eastAsia" w:ascii="宋体" w:hAnsi="宋体" w:eastAsia="宋体" w:cs="宋体"/>
                <w:kern w:val="0"/>
                <w:sz w:val="24"/>
                <w:szCs w:val="24"/>
              </w:rPr>
              <w:t>R</w:t>
            </w:r>
            <w:r>
              <w:rPr>
                <w:rFonts w:hint="eastAsia" w:ascii="宋体" w:hAnsi="宋体" w:eastAsia="宋体" w:cs="宋体"/>
                <w:kern w:val="0"/>
                <w:sz w:val="24"/>
                <w:szCs w:val="24"/>
                <w:vertAlign w:val="superscript"/>
              </w:rPr>
              <w:t>2</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0.99</w:t>
            </w:r>
            <w:r>
              <w:rPr>
                <w:rFonts w:hint="eastAsia" w:ascii="宋体" w:hAnsi="宋体" w:cs="宋体"/>
                <w:kern w:val="0"/>
                <w:sz w:val="24"/>
                <w:szCs w:val="24"/>
                <w:lang w:val="en-US" w:eastAsia="zh-CN"/>
              </w:rPr>
              <w:t>88</w:t>
            </w:r>
            <w:r>
              <w:rPr>
                <w:rFonts w:hint="eastAsia" w:ascii="宋体" w:hAnsi="宋体" w:eastAsia="宋体" w:cs="宋体"/>
                <w:bCs/>
                <w:kern w:val="0"/>
                <w:sz w:val="24"/>
                <w:szCs w:val="24"/>
              </w:rPr>
              <w:t>，</w:t>
            </w:r>
            <w:r>
              <w:rPr>
                <w:rFonts w:hint="eastAsia" w:ascii="宋体" w:hAnsi="宋体" w:eastAsia="宋体" w:cs="宋体"/>
                <w:sz w:val="24"/>
                <w:szCs w:val="24"/>
              </w:rPr>
              <w:t>k=</w:t>
            </w:r>
            <w:r>
              <w:rPr>
                <w:rFonts w:hint="eastAsia" w:ascii="宋体" w:hAnsi="宋体" w:cs="宋体"/>
                <w:kern w:val="0"/>
                <w:sz w:val="24"/>
                <w:szCs w:val="24"/>
                <w:lang w:val="en-US" w:eastAsia="zh-CN"/>
              </w:rPr>
              <w:t>0.9944</w:t>
            </w:r>
          </w:p>
        </w:tc>
        <w:tc>
          <w:tcPr>
            <w:tcW w:w="1004" w:type="pct"/>
            <w:vMerge w:val="restart"/>
            <w:tcBorders>
              <w:top w:val="single" w:color="auto" w:sz="4" w:space="0"/>
              <w:left w:val="single" w:color="auto" w:sz="4" w:space="0"/>
              <w:bottom w:val="single" w:color="auto" w:sz="4" w:space="0"/>
              <w:right w:val="single" w:color="auto" w:sz="4" w:space="0"/>
            </w:tcBorders>
            <w:vAlign w:val="center"/>
          </w:tcPr>
          <w:p w14:paraId="29A98F3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r w14:paraId="75ADFB36">
        <w:tblPrEx>
          <w:tblCellMar>
            <w:top w:w="0" w:type="dxa"/>
            <w:left w:w="108" w:type="dxa"/>
            <w:bottom w:w="0" w:type="dxa"/>
            <w:right w:w="108" w:type="dxa"/>
          </w:tblCellMar>
        </w:tblPrEx>
        <w:trPr>
          <w:trHeight w:val="624" w:hRule="atLeast"/>
        </w:trPr>
        <w:tc>
          <w:tcPr>
            <w:tcW w:w="719" w:type="pct"/>
            <w:vMerge w:val="continue"/>
            <w:tcBorders>
              <w:top w:val="single" w:color="auto" w:sz="4" w:space="0"/>
              <w:left w:val="single" w:color="auto" w:sz="4" w:space="0"/>
              <w:bottom w:val="single" w:color="auto" w:sz="4" w:space="0"/>
              <w:right w:val="single" w:color="auto" w:sz="4" w:space="0"/>
            </w:tcBorders>
            <w:vAlign w:val="center"/>
          </w:tcPr>
          <w:p w14:paraId="70B79CFC">
            <w:pPr>
              <w:widowControl/>
              <w:jc w:val="left"/>
              <w:rPr>
                <w:rFonts w:hint="eastAsia" w:ascii="宋体" w:hAnsi="宋体" w:eastAsia="宋体" w:cs="宋体"/>
                <w:color w:val="000000"/>
                <w:kern w:val="0"/>
                <w:sz w:val="24"/>
                <w:szCs w:val="24"/>
              </w:rPr>
            </w:pPr>
          </w:p>
        </w:tc>
        <w:tc>
          <w:tcPr>
            <w:tcW w:w="1168" w:type="pct"/>
            <w:vMerge w:val="continue"/>
            <w:tcBorders>
              <w:top w:val="single" w:color="auto" w:sz="4" w:space="0"/>
              <w:left w:val="single" w:color="auto" w:sz="4" w:space="0"/>
              <w:bottom w:val="single" w:color="auto" w:sz="4" w:space="0"/>
              <w:right w:val="single" w:color="auto" w:sz="4" w:space="0"/>
            </w:tcBorders>
            <w:vAlign w:val="center"/>
          </w:tcPr>
          <w:p w14:paraId="34B0E861">
            <w:pPr>
              <w:widowControl/>
              <w:jc w:val="left"/>
              <w:rPr>
                <w:rFonts w:hint="eastAsia" w:ascii="宋体" w:hAnsi="宋体" w:eastAsia="宋体" w:cs="宋体"/>
                <w:color w:val="000000"/>
                <w:kern w:val="0"/>
                <w:sz w:val="24"/>
                <w:szCs w:val="24"/>
              </w:rPr>
            </w:pPr>
          </w:p>
        </w:tc>
        <w:tc>
          <w:tcPr>
            <w:tcW w:w="2107" w:type="pct"/>
            <w:vMerge w:val="continue"/>
            <w:tcBorders>
              <w:top w:val="single" w:color="auto" w:sz="4" w:space="0"/>
              <w:left w:val="single" w:color="auto" w:sz="4" w:space="0"/>
              <w:bottom w:val="single" w:color="auto" w:sz="4" w:space="0"/>
              <w:right w:val="single" w:color="auto" w:sz="4" w:space="0"/>
            </w:tcBorders>
            <w:vAlign w:val="center"/>
          </w:tcPr>
          <w:p w14:paraId="4FFEDA54">
            <w:pPr>
              <w:widowControl/>
              <w:jc w:val="left"/>
              <w:rPr>
                <w:rFonts w:hint="eastAsia" w:ascii="宋体" w:hAnsi="宋体" w:eastAsia="宋体" w:cs="宋体"/>
                <w:color w:val="000000"/>
                <w:kern w:val="0"/>
                <w:sz w:val="24"/>
                <w:szCs w:val="24"/>
              </w:rPr>
            </w:pPr>
          </w:p>
        </w:tc>
        <w:tc>
          <w:tcPr>
            <w:tcW w:w="1004" w:type="pct"/>
            <w:vMerge w:val="continue"/>
            <w:tcBorders>
              <w:top w:val="single" w:color="auto" w:sz="4" w:space="0"/>
              <w:left w:val="single" w:color="auto" w:sz="4" w:space="0"/>
              <w:bottom w:val="single" w:color="auto" w:sz="4" w:space="0"/>
              <w:right w:val="single" w:color="auto" w:sz="4" w:space="0"/>
            </w:tcBorders>
            <w:vAlign w:val="center"/>
          </w:tcPr>
          <w:p w14:paraId="6B0C8BF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p>
        </w:tc>
      </w:tr>
      <w:tr w14:paraId="6D8F40B5">
        <w:tblPrEx>
          <w:tblCellMar>
            <w:top w:w="0" w:type="dxa"/>
            <w:left w:w="108" w:type="dxa"/>
            <w:bottom w:w="0" w:type="dxa"/>
            <w:right w:w="108" w:type="dxa"/>
          </w:tblCellMar>
        </w:tblPrEx>
        <w:trPr>
          <w:trHeight w:val="624" w:hRule="atLeast"/>
        </w:trPr>
        <w:tc>
          <w:tcPr>
            <w:tcW w:w="719" w:type="pct"/>
            <w:tcBorders>
              <w:top w:val="single" w:color="auto" w:sz="4" w:space="0"/>
              <w:left w:val="single" w:color="auto" w:sz="4" w:space="0"/>
              <w:bottom w:val="single" w:color="auto" w:sz="4" w:space="0"/>
              <w:right w:val="single" w:color="auto" w:sz="4" w:space="0"/>
            </w:tcBorders>
            <w:vAlign w:val="center"/>
          </w:tcPr>
          <w:p w14:paraId="4E23909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参考范围</w:t>
            </w:r>
          </w:p>
        </w:tc>
        <w:tc>
          <w:tcPr>
            <w:tcW w:w="1168" w:type="pct"/>
            <w:tcBorders>
              <w:top w:val="single" w:color="auto" w:sz="4" w:space="0"/>
              <w:left w:val="single" w:color="auto" w:sz="4" w:space="0"/>
              <w:bottom w:val="single" w:color="auto" w:sz="4" w:space="0"/>
              <w:right w:val="single" w:color="auto" w:sz="4" w:space="0"/>
            </w:tcBorders>
            <w:vAlign w:val="center"/>
          </w:tcPr>
          <w:p w14:paraId="6D647BC7">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总符合性≧80%</w:t>
            </w:r>
          </w:p>
        </w:tc>
        <w:tc>
          <w:tcPr>
            <w:tcW w:w="2107" w:type="pct"/>
            <w:tcBorders>
              <w:top w:val="single" w:color="auto" w:sz="4" w:space="0"/>
              <w:left w:val="single" w:color="auto" w:sz="4" w:space="0"/>
              <w:bottom w:val="single" w:color="auto" w:sz="4" w:space="0"/>
              <w:right w:val="single" w:color="auto" w:sz="4" w:space="0"/>
            </w:tcBorders>
            <w:vAlign w:val="center"/>
          </w:tcPr>
          <w:p w14:paraId="15746B56">
            <w:pPr>
              <w:keepNext w:val="0"/>
              <w:keepLines w:val="0"/>
              <w:widowControl/>
              <w:suppressLineNumbers w:val="0"/>
              <w:jc w:val="center"/>
              <w:textAlignment w:val="center"/>
              <w:rPr>
                <w:rFonts w:hint="default" w:ascii="宋体" w:hAnsi="宋体" w:eastAsia="宋体" w:cs="宋体"/>
                <w:color w:val="000000"/>
                <w:kern w:val="0"/>
                <w:sz w:val="24"/>
                <w:szCs w:val="24"/>
                <w:lang w:val="en-US" w:eastAsia="zh-CN"/>
              </w:rPr>
            </w:pPr>
            <w:r>
              <w:rPr>
                <w:rFonts w:hint="eastAsia" w:ascii="宋体" w:hAnsi="宋体" w:eastAsia="宋体" w:cs="宋体"/>
                <w:i w:val="0"/>
                <w:iCs w:val="0"/>
                <w:color w:val="000000"/>
                <w:sz w:val="22"/>
                <w:szCs w:val="22"/>
                <w:u w:val="none"/>
                <w:lang w:val="en-US" w:eastAsia="zh-CN"/>
              </w:rPr>
              <w:t>符合率25%</w:t>
            </w:r>
          </w:p>
        </w:tc>
        <w:tc>
          <w:tcPr>
            <w:tcW w:w="1004" w:type="pct"/>
            <w:tcBorders>
              <w:top w:val="single" w:color="auto" w:sz="4" w:space="0"/>
              <w:left w:val="single" w:color="auto" w:sz="4" w:space="0"/>
              <w:bottom w:val="single" w:color="auto" w:sz="4" w:space="0"/>
              <w:right w:val="single" w:color="auto" w:sz="4" w:space="0"/>
            </w:tcBorders>
            <w:vAlign w:val="center"/>
          </w:tcPr>
          <w:p w14:paraId="0E5BB02D">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bl>
    <w:p w14:paraId="6C16FDFF">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146DB2C0">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w:t>
      </w:r>
      <w:r>
        <w:rPr>
          <w:rFonts w:hint="eastAsia" w:ascii="Times New Roman" w:hAnsi="Times New Roman" w:eastAsia="楷体" w:cs="Times New Roman"/>
          <w:b/>
          <w:bCs/>
          <w:color w:val="000000" w:themeColor="text1"/>
          <w:kern w:val="0"/>
          <w:sz w:val="32"/>
          <w:szCs w:val="32"/>
          <w:lang w:val="en-US" w:eastAsia="zh-CN"/>
          <w14:textFill>
            <w14:solidFill>
              <w14:schemeClr w14:val="tx1"/>
            </w14:solidFill>
          </w14:textFill>
        </w:rPr>
        <w:t>八</w:t>
      </w:r>
      <w:r>
        <w:rPr>
          <w:rFonts w:hint="eastAsia" w:ascii="Times New Roman" w:hAnsi="Times New Roman" w:eastAsia="楷体" w:cs="Times New Roman"/>
          <w:b/>
          <w:bCs/>
          <w:color w:val="000000" w:themeColor="text1"/>
          <w:kern w:val="0"/>
          <w:sz w:val="32"/>
          <w:szCs w:val="32"/>
          <w14:textFill>
            <w14:solidFill>
              <w14:schemeClr w14:val="tx1"/>
            </w14:solidFill>
          </w14:textFill>
        </w:rPr>
        <w:t>）肺炎支原体Ig</w:t>
      </w:r>
      <w:r>
        <w:rPr>
          <w:rFonts w:hint="eastAsia" w:ascii="Times New Roman" w:hAnsi="Times New Roman" w:eastAsia="楷体" w:cs="Times New Roman"/>
          <w:b/>
          <w:bCs/>
          <w:color w:val="000000" w:themeColor="text1"/>
          <w:kern w:val="0"/>
          <w:sz w:val="32"/>
          <w:szCs w:val="32"/>
          <w:lang w:val="en-US" w:eastAsia="zh-CN"/>
          <w14:textFill>
            <w14:solidFill>
              <w14:schemeClr w14:val="tx1"/>
            </w14:solidFill>
          </w14:textFill>
        </w:rPr>
        <w:t>M</w:t>
      </w:r>
      <w:r>
        <w:rPr>
          <w:rFonts w:hint="eastAsia" w:ascii="Times New Roman" w:hAnsi="Times New Roman" w:eastAsia="楷体" w:cs="Times New Roman"/>
          <w:b/>
          <w:bCs/>
          <w:color w:val="000000" w:themeColor="text1"/>
          <w:kern w:val="0"/>
          <w:sz w:val="32"/>
          <w:szCs w:val="32"/>
          <w14:textFill>
            <w14:solidFill>
              <w14:schemeClr w14:val="tx1"/>
            </w14:solidFill>
          </w14:textFill>
        </w:rPr>
        <w:t>试验验证过程</w:t>
      </w:r>
    </w:p>
    <w:p w14:paraId="16AF7F7C">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1.精密度</w:t>
      </w:r>
    </w:p>
    <w:p w14:paraId="56B29165">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使用低高2个浓度样本（阴阳性区分）。连续测定5天，每天一个分析批，每批2个浓度水平，每一个浓度水平同一样品重复测定3次，计算其CV值。（要求为CV≦15%，实验室标准差小于验证值）。依据标准WS/T 492-2016《临床检验定量测定项目精密度与正确度性能验证》开展验证。精密度验证数据见表</w:t>
      </w: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olor w:val="000000" w:themeColor="text1"/>
          <w:sz w:val="32"/>
          <w:szCs w:val="32"/>
          <w14:textFill>
            <w14:solidFill>
              <w14:schemeClr w14:val="tx1"/>
            </w14:solidFill>
          </w14:textFill>
        </w:rPr>
        <w:t>。</w:t>
      </w:r>
    </w:p>
    <w:p w14:paraId="452DC566">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09FF1E9A">
      <w:pPr>
        <w:spacing w:line="520" w:lineRule="exact"/>
        <w:ind w:firstLine="640" w:firstLineChars="200"/>
        <w:rPr>
          <w:rFonts w:ascii="仿宋_GB2312" w:eastAsia="仿宋_GB2312"/>
          <w:color w:val="000000" w:themeColor="text1"/>
          <w:sz w:val="32"/>
          <w:szCs w:val="32"/>
          <w14:textFill>
            <w14:solidFill>
              <w14:schemeClr w14:val="tx1"/>
            </w14:solidFill>
          </w14:textFill>
        </w:rPr>
        <w:sectPr>
          <w:footerReference r:id="rId4" w:type="default"/>
          <w:pgSz w:w="11906" w:h="16838"/>
          <w:pgMar w:top="1474" w:right="1474" w:bottom="1474" w:left="1474" w:header="851" w:footer="992" w:gutter="0"/>
          <w:cols w:space="720" w:num="1"/>
          <w:docGrid w:linePitch="312" w:charSpace="0"/>
        </w:sectPr>
      </w:pPr>
    </w:p>
    <w:p w14:paraId="4A5D44A3">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lang w:eastAsia="zh-CN"/>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w:t>
      </w:r>
      <w:r>
        <w:rPr>
          <w:rFonts w:hint="eastAsia" w:ascii="仿宋_GB2312" w:eastAsia="仿宋_GB2312"/>
          <w:color w:val="000000" w:themeColor="text1"/>
          <w:sz w:val="22"/>
          <w:szCs w:val="22"/>
          <w:lang w:val="en-US" w:eastAsia="zh-CN"/>
          <w14:textFill>
            <w14:solidFill>
              <w14:schemeClr w14:val="tx1"/>
            </w14:solidFill>
          </w14:textFill>
        </w:rPr>
        <w:t>6.1</w:t>
      </w:r>
      <w:r>
        <w:rPr>
          <w:rFonts w:hint="eastAsia" w:ascii="仿宋_GB2312" w:eastAsia="仿宋_GB2312"/>
          <w:color w:val="000000" w:themeColor="text1"/>
          <w:sz w:val="22"/>
          <w:szCs w:val="22"/>
          <w14:textFill>
            <w14:solidFill>
              <w14:schemeClr w14:val="tx1"/>
            </w14:solidFill>
          </w14:textFill>
        </w:rPr>
        <w:t xml:space="preserve">  精密度验证数据</w:t>
      </w:r>
      <w:r>
        <w:rPr>
          <w:rFonts w:hint="eastAsia" w:ascii="仿宋_GB2312" w:eastAsia="仿宋_GB2312"/>
          <w:color w:val="000000" w:themeColor="text1"/>
          <w:sz w:val="22"/>
          <w:szCs w:val="22"/>
          <w:lang w:eastAsia="zh-CN"/>
          <w14:textFill>
            <w14:solidFill>
              <w14:schemeClr w14:val="tx1"/>
            </w14:solidFill>
          </w14:textFill>
        </w:rPr>
        <w:t>（</w:t>
      </w:r>
      <w:r>
        <w:rPr>
          <w:rFonts w:hint="eastAsia" w:ascii="仿宋_GB2312" w:eastAsia="仿宋_GB2312"/>
          <w:color w:val="000000" w:themeColor="text1"/>
          <w:sz w:val="22"/>
          <w:szCs w:val="22"/>
          <w:lang w:val="en-US" w:eastAsia="zh-CN"/>
          <w14:textFill>
            <w14:solidFill>
              <w14:schemeClr w14:val="tx1"/>
            </w14:solidFill>
          </w14:textFill>
        </w:rPr>
        <w:t>水平1、2</w:t>
      </w:r>
      <w:r>
        <w:rPr>
          <w:rFonts w:hint="eastAsia" w:ascii="仿宋_GB2312" w:eastAsia="仿宋_GB2312"/>
          <w:color w:val="000000" w:themeColor="text1"/>
          <w:sz w:val="22"/>
          <w:szCs w:val="22"/>
          <w:lang w:eastAsia="zh-CN"/>
          <w14:textFill>
            <w14:solidFill>
              <w14:schemeClr w14:val="tx1"/>
            </w14:solidFill>
          </w14:textFill>
        </w:rPr>
        <w:t>）</w:t>
      </w:r>
    </w:p>
    <w:tbl>
      <w:tblPr>
        <w:tblStyle w:val="17"/>
        <w:tblW w:w="5000" w:type="pct"/>
        <w:tblInd w:w="0" w:type="dxa"/>
        <w:tblLayout w:type="fixed"/>
        <w:tblCellMar>
          <w:top w:w="0" w:type="dxa"/>
          <w:left w:w="108" w:type="dxa"/>
          <w:bottom w:w="0" w:type="dxa"/>
          <w:right w:w="108" w:type="dxa"/>
        </w:tblCellMar>
      </w:tblPr>
      <w:tblGrid>
        <w:gridCol w:w="1098"/>
        <w:gridCol w:w="807"/>
        <w:gridCol w:w="807"/>
        <w:gridCol w:w="807"/>
        <w:gridCol w:w="807"/>
        <w:gridCol w:w="807"/>
        <w:gridCol w:w="3"/>
        <w:gridCol w:w="804"/>
        <w:gridCol w:w="807"/>
        <w:gridCol w:w="807"/>
        <w:gridCol w:w="807"/>
        <w:gridCol w:w="813"/>
      </w:tblGrid>
      <w:tr w14:paraId="2DEC38B7">
        <w:tblPrEx>
          <w:tblCellMar>
            <w:top w:w="0" w:type="dxa"/>
            <w:left w:w="108" w:type="dxa"/>
            <w:bottom w:w="0" w:type="dxa"/>
            <w:right w:w="108" w:type="dxa"/>
          </w:tblCellMar>
        </w:tblPrEx>
        <w:trPr>
          <w:trHeight w:val="499" w:hRule="atLeast"/>
        </w:trPr>
        <w:tc>
          <w:tcPr>
            <w:tcW w:w="5000" w:type="pct"/>
            <w:gridSpan w:val="1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338F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cs="Times New Roman"/>
                <w:color w:val="000000"/>
                <w:sz w:val="20"/>
                <w:szCs w:val="20"/>
              </w:rPr>
            </w:pPr>
            <w:r>
              <w:rPr>
                <w:rFonts w:hint="eastAsia" w:ascii="宋体" w:hAnsi="宋体" w:cs="Times New Roman"/>
                <w:color w:val="000000"/>
                <w:kern w:val="0"/>
                <w:sz w:val="20"/>
                <w:szCs w:val="20"/>
              </w:rPr>
              <w:t>试验结果</w:t>
            </w:r>
          </w:p>
        </w:tc>
      </w:tr>
      <w:tr w14:paraId="367B8054">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5B3D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质控品</w:t>
            </w:r>
          </w:p>
          <w:p w14:paraId="53FA9F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水平</w:t>
            </w:r>
          </w:p>
        </w:tc>
        <w:tc>
          <w:tcPr>
            <w:tcW w:w="2199" w:type="pct"/>
            <w:gridSpan w:val="5"/>
            <w:tcBorders>
              <w:top w:val="single" w:color="000000" w:sz="4" w:space="0"/>
              <w:left w:val="nil"/>
              <w:bottom w:val="single" w:color="000000" w:sz="4" w:space="0"/>
              <w:right w:val="single" w:color="000000" w:sz="4" w:space="0"/>
            </w:tcBorders>
            <w:shd w:val="clear" w:color="auto" w:fill="FFFFFF"/>
            <w:noWrap/>
            <w:vAlign w:val="center"/>
          </w:tcPr>
          <w:p w14:paraId="1F55F60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Level 1</w:t>
            </w:r>
          </w:p>
        </w:tc>
        <w:tc>
          <w:tcPr>
            <w:tcW w:w="2202" w:type="pct"/>
            <w:gridSpan w:val="6"/>
            <w:tcBorders>
              <w:top w:val="single" w:color="000000" w:sz="4" w:space="0"/>
              <w:left w:val="nil"/>
              <w:bottom w:val="single" w:color="000000" w:sz="4" w:space="0"/>
              <w:right w:val="single" w:color="000000" w:sz="4" w:space="0"/>
            </w:tcBorders>
            <w:shd w:val="clear" w:color="auto" w:fill="FFFFFF"/>
            <w:noWrap/>
            <w:vAlign w:val="center"/>
          </w:tcPr>
          <w:p w14:paraId="350B134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Level 2</w:t>
            </w:r>
          </w:p>
        </w:tc>
      </w:tr>
      <w:tr w14:paraId="7295C210">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9AF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测试批次</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BDF06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第1天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17C748D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第2天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F6BC3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第3天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042D30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第4天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36600B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第5天</w:t>
            </w:r>
          </w:p>
        </w:tc>
        <w:tc>
          <w:tcPr>
            <w:tcW w:w="439" w:type="pct"/>
            <w:gridSpan w:val="2"/>
            <w:tcBorders>
              <w:top w:val="single" w:color="000000" w:sz="4" w:space="0"/>
              <w:left w:val="nil"/>
              <w:bottom w:val="single" w:color="000000" w:sz="4" w:space="0"/>
              <w:right w:val="single" w:color="000000" w:sz="4" w:space="0"/>
            </w:tcBorders>
            <w:shd w:val="clear" w:color="auto" w:fill="FFFFFF"/>
            <w:noWrap/>
            <w:vAlign w:val="center"/>
          </w:tcPr>
          <w:p w14:paraId="5ECC992C">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第1天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2876B2D6">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第2天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5DCCF88D">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第3天</w:t>
            </w:r>
          </w:p>
        </w:tc>
        <w:tc>
          <w:tcPr>
            <w:tcW w:w="439" w:type="pct"/>
            <w:tcBorders>
              <w:top w:val="single" w:color="000000" w:sz="4" w:space="0"/>
              <w:left w:val="nil"/>
              <w:bottom w:val="single" w:color="000000" w:sz="4" w:space="0"/>
              <w:right w:val="single" w:color="000000" w:sz="4" w:space="0"/>
            </w:tcBorders>
            <w:shd w:val="clear" w:color="auto" w:fill="FFFFFF"/>
            <w:noWrap/>
            <w:vAlign w:val="center"/>
          </w:tcPr>
          <w:p w14:paraId="72FDE6BB">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第4天</w:t>
            </w:r>
          </w:p>
        </w:tc>
        <w:tc>
          <w:tcPr>
            <w:tcW w:w="443" w:type="pct"/>
            <w:tcBorders>
              <w:top w:val="single" w:color="000000" w:sz="4" w:space="0"/>
              <w:left w:val="nil"/>
              <w:bottom w:val="single" w:color="000000" w:sz="4" w:space="0"/>
              <w:right w:val="single" w:color="000000" w:sz="4" w:space="0"/>
            </w:tcBorders>
            <w:shd w:val="clear" w:color="auto" w:fill="FFFFFF"/>
            <w:noWrap/>
            <w:vAlign w:val="center"/>
          </w:tcPr>
          <w:p w14:paraId="12EB16F0">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第5天</w:t>
            </w:r>
          </w:p>
        </w:tc>
      </w:tr>
      <w:tr w14:paraId="365DC580">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8846D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第一次测量结果</w:t>
            </w:r>
          </w:p>
        </w:tc>
        <w:tc>
          <w:tcPr>
            <w:tcW w:w="807" w:type="dxa"/>
            <w:tcBorders>
              <w:top w:val="single" w:color="000000" w:sz="4" w:space="0"/>
              <w:left w:val="nil"/>
              <w:bottom w:val="single" w:color="000000" w:sz="4" w:space="0"/>
              <w:right w:val="single" w:color="000000" w:sz="4" w:space="0"/>
            </w:tcBorders>
            <w:noWrap/>
            <w:vAlign w:val="center"/>
          </w:tcPr>
          <w:p w14:paraId="1249AA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0.72</w:t>
            </w:r>
          </w:p>
        </w:tc>
        <w:tc>
          <w:tcPr>
            <w:tcW w:w="807" w:type="dxa"/>
            <w:tcBorders>
              <w:top w:val="single" w:color="000000" w:sz="4" w:space="0"/>
              <w:left w:val="nil"/>
              <w:bottom w:val="single" w:color="000000" w:sz="4" w:space="0"/>
              <w:right w:val="single" w:color="000000" w:sz="4" w:space="0"/>
            </w:tcBorders>
            <w:noWrap/>
            <w:vAlign w:val="center"/>
          </w:tcPr>
          <w:p w14:paraId="3E0B5C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0.72</w:t>
            </w:r>
          </w:p>
        </w:tc>
        <w:tc>
          <w:tcPr>
            <w:tcW w:w="807" w:type="dxa"/>
            <w:tcBorders>
              <w:top w:val="single" w:color="000000" w:sz="4" w:space="0"/>
              <w:left w:val="nil"/>
              <w:bottom w:val="single" w:color="000000" w:sz="4" w:space="0"/>
              <w:right w:val="single" w:color="000000" w:sz="4" w:space="0"/>
            </w:tcBorders>
            <w:noWrap/>
            <w:vAlign w:val="center"/>
          </w:tcPr>
          <w:p w14:paraId="1CBA44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w:t>
            </w:r>
          </w:p>
        </w:tc>
        <w:tc>
          <w:tcPr>
            <w:tcW w:w="807" w:type="dxa"/>
            <w:tcBorders>
              <w:top w:val="single" w:color="000000" w:sz="4" w:space="0"/>
              <w:left w:val="nil"/>
              <w:bottom w:val="single" w:color="000000" w:sz="4" w:space="0"/>
              <w:right w:val="single" w:color="000000" w:sz="4" w:space="0"/>
            </w:tcBorders>
            <w:noWrap/>
            <w:vAlign w:val="center"/>
          </w:tcPr>
          <w:p w14:paraId="2D685E9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w:t>
            </w:r>
          </w:p>
        </w:tc>
        <w:tc>
          <w:tcPr>
            <w:tcW w:w="807" w:type="dxa"/>
            <w:tcBorders>
              <w:top w:val="single" w:color="000000" w:sz="4" w:space="0"/>
              <w:left w:val="nil"/>
              <w:bottom w:val="single" w:color="000000" w:sz="4" w:space="0"/>
              <w:right w:val="single" w:color="000000" w:sz="4" w:space="0"/>
            </w:tcBorders>
            <w:noWrap/>
            <w:vAlign w:val="center"/>
          </w:tcPr>
          <w:p w14:paraId="42F377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0.71</w:t>
            </w:r>
          </w:p>
        </w:tc>
        <w:tc>
          <w:tcPr>
            <w:tcW w:w="807" w:type="dxa"/>
            <w:gridSpan w:val="2"/>
            <w:tcBorders>
              <w:top w:val="single" w:color="000000" w:sz="4" w:space="0"/>
              <w:left w:val="nil"/>
              <w:bottom w:val="single" w:color="000000" w:sz="4" w:space="0"/>
              <w:right w:val="single" w:color="000000" w:sz="4" w:space="0"/>
            </w:tcBorders>
            <w:noWrap/>
            <w:vAlign w:val="center"/>
          </w:tcPr>
          <w:p w14:paraId="2F9ABD6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6.51</w:t>
            </w:r>
          </w:p>
        </w:tc>
        <w:tc>
          <w:tcPr>
            <w:tcW w:w="807" w:type="dxa"/>
            <w:tcBorders>
              <w:top w:val="single" w:color="000000" w:sz="4" w:space="0"/>
              <w:left w:val="nil"/>
              <w:bottom w:val="single" w:color="000000" w:sz="4" w:space="0"/>
              <w:right w:val="single" w:color="000000" w:sz="4" w:space="0"/>
            </w:tcBorders>
            <w:noWrap/>
            <w:vAlign w:val="center"/>
          </w:tcPr>
          <w:p w14:paraId="73A91E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6.56</w:t>
            </w:r>
          </w:p>
        </w:tc>
        <w:tc>
          <w:tcPr>
            <w:tcW w:w="807" w:type="dxa"/>
            <w:tcBorders>
              <w:top w:val="single" w:color="000000" w:sz="4" w:space="0"/>
              <w:left w:val="nil"/>
              <w:bottom w:val="single" w:color="000000" w:sz="4" w:space="0"/>
              <w:right w:val="single" w:color="000000" w:sz="4" w:space="0"/>
            </w:tcBorders>
            <w:noWrap/>
            <w:vAlign w:val="center"/>
          </w:tcPr>
          <w:p w14:paraId="0E61F2D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w:t>
            </w:r>
          </w:p>
        </w:tc>
        <w:tc>
          <w:tcPr>
            <w:tcW w:w="807" w:type="dxa"/>
            <w:tcBorders>
              <w:top w:val="single" w:color="000000" w:sz="4" w:space="0"/>
              <w:left w:val="nil"/>
              <w:bottom w:val="single" w:color="000000" w:sz="4" w:space="0"/>
              <w:right w:val="single" w:color="000000" w:sz="4" w:space="0"/>
            </w:tcBorders>
            <w:noWrap/>
            <w:vAlign w:val="center"/>
          </w:tcPr>
          <w:p w14:paraId="0B66F1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6.52</w:t>
            </w:r>
          </w:p>
        </w:tc>
        <w:tc>
          <w:tcPr>
            <w:tcW w:w="813" w:type="dxa"/>
            <w:tcBorders>
              <w:top w:val="single" w:color="000000" w:sz="4" w:space="0"/>
              <w:left w:val="nil"/>
              <w:bottom w:val="single" w:color="000000" w:sz="4" w:space="0"/>
              <w:right w:val="single" w:color="000000" w:sz="4" w:space="0"/>
            </w:tcBorders>
            <w:noWrap/>
            <w:vAlign w:val="center"/>
          </w:tcPr>
          <w:p w14:paraId="3C1E9B3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6.6</w:t>
            </w:r>
          </w:p>
        </w:tc>
      </w:tr>
      <w:tr w14:paraId="5D1DA47F">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B481E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第二次测量结果</w:t>
            </w:r>
          </w:p>
        </w:tc>
        <w:tc>
          <w:tcPr>
            <w:tcW w:w="807" w:type="dxa"/>
            <w:tcBorders>
              <w:top w:val="single" w:color="000000" w:sz="4" w:space="0"/>
              <w:left w:val="nil"/>
              <w:bottom w:val="single" w:color="000000" w:sz="4" w:space="0"/>
              <w:right w:val="single" w:color="000000" w:sz="4" w:space="0"/>
            </w:tcBorders>
            <w:noWrap/>
            <w:vAlign w:val="center"/>
          </w:tcPr>
          <w:p w14:paraId="1B4D44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w:t>
            </w:r>
          </w:p>
        </w:tc>
        <w:tc>
          <w:tcPr>
            <w:tcW w:w="807" w:type="dxa"/>
            <w:tcBorders>
              <w:top w:val="single" w:color="000000" w:sz="4" w:space="0"/>
              <w:left w:val="nil"/>
              <w:bottom w:val="single" w:color="000000" w:sz="4" w:space="0"/>
              <w:right w:val="single" w:color="000000" w:sz="4" w:space="0"/>
            </w:tcBorders>
            <w:noWrap/>
            <w:vAlign w:val="center"/>
          </w:tcPr>
          <w:p w14:paraId="2205031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w:t>
            </w:r>
          </w:p>
        </w:tc>
        <w:tc>
          <w:tcPr>
            <w:tcW w:w="807" w:type="dxa"/>
            <w:tcBorders>
              <w:top w:val="single" w:color="000000" w:sz="4" w:space="0"/>
              <w:left w:val="nil"/>
              <w:bottom w:val="single" w:color="000000" w:sz="4" w:space="0"/>
              <w:right w:val="single" w:color="000000" w:sz="4" w:space="0"/>
            </w:tcBorders>
            <w:noWrap/>
            <w:vAlign w:val="center"/>
          </w:tcPr>
          <w:p w14:paraId="1F8A29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0.68</w:t>
            </w:r>
          </w:p>
        </w:tc>
        <w:tc>
          <w:tcPr>
            <w:tcW w:w="807" w:type="dxa"/>
            <w:tcBorders>
              <w:top w:val="single" w:color="000000" w:sz="4" w:space="0"/>
              <w:left w:val="nil"/>
              <w:bottom w:val="single" w:color="000000" w:sz="4" w:space="0"/>
              <w:right w:val="single" w:color="000000" w:sz="4" w:space="0"/>
            </w:tcBorders>
            <w:noWrap/>
            <w:vAlign w:val="center"/>
          </w:tcPr>
          <w:p w14:paraId="1BCCE8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0.71</w:t>
            </w:r>
          </w:p>
        </w:tc>
        <w:tc>
          <w:tcPr>
            <w:tcW w:w="807" w:type="dxa"/>
            <w:tcBorders>
              <w:top w:val="single" w:color="000000" w:sz="4" w:space="0"/>
              <w:left w:val="nil"/>
              <w:bottom w:val="single" w:color="000000" w:sz="4" w:space="0"/>
              <w:right w:val="single" w:color="000000" w:sz="4" w:space="0"/>
            </w:tcBorders>
            <w:noWrap/>
            <w:vAlign w:val="center"/>
          </w:tcPr>
          <w:p w14:paraId="0DF0FF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0.71</w:t>
            </w:r>
          </w:p>
        </w:tc>
        <w:tc>
          <w:tcPr>
            <w:tcW w:w="807" w:type="dxa"/>
            <w:gridSpan w:val="2"/>
            <w:tcBorders>
              <w:top w:val="single" w:color="000000" w:sz="4" w:space="0"/>
              <w:left w:val="nil"/>
              <w:bottom w:val="single" w:color="000000" w:sz="4" w:space="0"/>
              <w:right w:val="single" w:color="000000" w:sz="4" w:space="0"/>
            </w:tcBorders>
            <w:noWrap/>
            <w:vAlign w:val="center"/>
          </w:tcPr>
          <w:p w14:paraId="7908A0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w:t>
            </w:r>
          </w:p>
        </w:tc>
        <w:tc>
          <w:tcPr>
            <w:tcW w:w="807" w:type="dxa"/>
            <w:tcBorders>
              <w:top w:val="single" w:color="000000" w:sz="4" w:space="0"/>
              <w:left w:val="nil"/>
              <w:bottom w:val="single" w:color="000000" w:sz="4" w:space="0"/>
              <w:right w:val="single" w:color="000000" w:sz="4" w:space="0"/>
            </w:tcBorders>
            <w:noWrap/>
            <w:vAlign w:val="center"/>
          </w:tcPr>
          <w:p w14:paraId="72C9BF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6.55</w:t>
            </w:r>
          </w:p>
        </w:tc>
        <w:tc>
          <w:tcPr>
            <w:tcW w:w="807" w:type="dxa"/>
            <w:tcBorders>
              <w:top w:val="single" w:color="000000" w:sz="4" w:space="0"/>
              <w:left w:val="nil"/>
              <w:bottom w:val="single" w:color="000000" w:sz="4" w:space="0"/>
              <w:right w:val="single" w:color="000000" w:sz="4" w:space="0"/>
            </w:tcBorders>
            <w:noWrap/>
            <w:vAlign w:val="center"/>
          </w:tcPr>
          <w:p w14:paraId="6803919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6.56</w:t>
            </w:r>
          </w:p>
        </w:tc>
        <w:tc>
          <w:tcPr>
            <w:tcW w:w="807" w:type="dxa"/>
            <w:tcBorders>
              <w:top w:val="single" w:color="000000" w:sz="4" w:space="0"/>
              <w:left w:val="nil"/>
              <w:bottom w:val="single" w:color="000000" w:sz="4" w:space="0"/>
              <w:right w:val="single" w:color="000000" w:sz="4" w:space="0"/>
            </w:tcBorders>
            <w:noWrap/>
            <w:vAlign w:val="center"/>
          </w:tcPr>
          <w:p w14:paraId="028F1BB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6.48</w:t>
            </w:r>
          </w:p>
        </w:tc>
        <w:tc>
          <w:tcPr>
            <w:tcW w:w="813" w:type="dxa"/>
            <w:tcBorders>
              <w:top w:val="single" w:color="000000" w:sz="4" w:space="0"/>
              <w:left w:val="nil"/>
              <w:bottom w:val="single" w:color="000000" w:sz="4" w:space="0"/>
              <w:right w:val="single" w:color="000000" w:sz="4" w:space="0"/>
            </w:tcBorders>
            <w:noWrap/>
            <w:vAlign w:val="center"/>
          </w:tcPr>
          <w:p w14:paraId="7115FF5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w:t>
            </w:r>
          </w:p>
        </w:tc>
      </w:tr>
      <w:tr w14:paraId="0BD375E7">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A0A6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第三次测量结果</w:t>
            </w:r>
          </w:p>
        </w:tc>
        <w:tc>
          <w:tcPr>
            <w:tcW w:w="807" w:type="dxa"/>
            <w:tcBorders>
              <w:top w:val="single" w:color="000000" w:sz="4" w:space="0"/>
              <w:left w:val="nil"/>
              <w:bottom w:val="single" w:color="000000" w:sz="4" w:space="0"/>
              <w:right w:val="single" w:color="000000" w:sz="4" w:space="0"/>
            </w:tcBorders>
            <w:noWrap/>
            <w:vAlign w:val="center"/>
          </w:tcPr>
          <w:p w14:paraId="356FCB2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0.72</w:t>
            </w:r>
          </w:p>
        </w:tc>
        <w:tc>
          <w:tcPr>
            <w:tcW w:w="807" w:type="dxa"/>
            <w:tcBorders>
              <w:top w:val="single" w:color="000000" w:sz="4" w:space="0"/>
              <w:left w:val="nil"/>
              <w:bottom w:val="single" w:color="000000" w:sz="4" w:space="0"/>
              <w:right w:val="single" w:color="000000" w:sz="4" w:space="0"/>
            </w:tcBorders>
            <w:noWrap/>
            <w:vAlign w:val="center"/>
          </w:tcPr>
          <w:p w14:paraId="35405A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0.73</w:t>
            </w:r>
          </w:p>
        </w:tc>
        <w:tc>
          <w:tcPr>
            <w:tcW w:w="807" w:type="dxa"/>
            <w:tcBorders>
              <w:top w:val="single" w:color="000000" w:sz="4" w:space="0"/>
              <w:left w:val="nil"/>
              <w:bottom w:val="single" w:color="000000" w:sz="4" w:space="0"/>
              <w:right w:val="single" w:color="000000" w:sz="4" w:space="0"/>
            </w:tcBorders>
            <w:noWrap/>
            <w:vAlign w:val="center"/>
          </w:tcPr>
          <w:p w14:paraId="2CC41D0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w:t>
            </w:r>
          </w:p>
        </w:tc>
        <w:tc>
          <w:tcPr>
            <w:tcW w:w="807" w:type="dxa"/>
            <w:tcBorders>
              <w:top w:val="single" w:color="000000" w:sz="4" w:space="0"/>
              <w:left w:val="nil"/>
              <w:bottom w:val="single" w:color="000000" w:sz="4" w:space="0"/>
              <w:right w:val="single" w:color="000000" w:sz="4" w:space="0"/>
            </w:tcBorders>
            <w:noWrap/>
            <w:vAlign w:val="center"/>
          </w:tcPr>
          <w:p w14:paraId="536A72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0.72</w:t>
            </w:r>
          </w:p>
        </w:tc>
        <w:tc>
          <w:tcPr>
            <w:tcW w:w="807" w:type="dxa"/>
            <w:tcBorders>
              <w:top w:val="single" w:color="000000" w:sz="4" w:space="0"/>
              <w:left w:val="nil"/>
              <w:bottom w:val="single" w:color="000000" w:sz="4" w:space="0"/>
              <w:right w:val="single" w:color="000000" w:sz="4" w:space="0"/>
            </w:tcBorders>
            <w:noWrap/>
            <w:vAlign w:val="center"/>
          </w:tcPr>
          <w:p w14:paraId="6675C4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0.72</w:t>
            </w:r>
          </w:p>
        </w:tc>
        <w:tc>
          <w:tcPr>
            <w:tcW w:w="807" w:type="dxa"/>
            <w:gridSpan w:val="2"/>
            <w:tcBorders>
              <w:top w:val="single" w:color="000000" w:sz="4" w:space="0"/>
              <w:left w:val="nil"/>
              <w:bottom w:val="single" w:color="000000" w:sz="4" w:space="0"/>
              <w:right w:val="single" w:color="000000" w:sz="4" w:space="0"/>
            </w:tcBorders>
            <w:noWrap/>
            <w:vAlign w:val="center"/>
          </w:tcPr>
          <w:p w14:paraId="6048F00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6.48</w:t>
            </w:r>
          </w:p>
        </w:tc>
        <w:tc>
          <w:tcPr>
            <w:tcW w:w="807" w:type="dxa"/>
            <w:tcBorders>
              <w:top w:val="single" w:color="000000" w:sz="4" w:space="0"/>
              <w:left w:val="nil"/>
              <w:bottom w:val="single" w:color="000000" w:sz="4" w:space="0"/>
              <w:right w:val="single" w:color="000000" w:sz="4" w:space="0"/>
            </w:tcBorders>
            <w:noWrap/>
            <w:vAlign w:val="center"/>
          </w:tcPr>
          <w:p w14:paraId="66142E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6.51</w:t>
            </w:r>
          </w:p>
        </w:tc>
        <w:tc>
          <w:tcPr>
            <w:tcW w:w="807" w:type="dxa"/>
            <w:tcBorders>
              <w:top w:val="single" w:color="000000" w:sz="4" w:space="0"/>
              <w:left w:val="nil"/>
              <w:bottom w:val="single" w:color="000000" w:sz="4" w:space="0"/>
              <w:right w:val="single" w:color="000000" w:sz="4" w:space="0"/>
            </w:tcBorders>
            <w:noWrap/>
            <w:vAlign w:val="center"/>
          </w:tcPr>
          <w:p w14:paraId="11629BF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6.56</w:t>
            </w:r>
          </w:p>
        </w:tc>
        <w:tc>
          <w:tcPr>
            <w:tcW w:w="807" w:type="dxa"/>
            <w:tcBorders>
              <w:top w:val="single" w:color="000000" w:sz="4" w:space="0"/>
              <w:left w:val="nil"/>
              <w:bottom w:val="single" w:color="000000" w:sz="4" w:space="0"/>
              <w:right w:val="single" w:color="000000" w:sz="4" w:space="0"/>
            </w:tcBorders>
            <w:noWrap/>
            <w:vAlign w:val="center"/>
          </w:tcPr>
          <w:p w14:paraId="1B408FE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6.55</w:t>
            </w:r>
          </w:p>
        </w:tc>
        <w:tc>
          <w:tcPr>
            <w:tcW w:w="813" w:type="dxa"/>
            <w:tcBorders>
              <w:top w:val="single" w:color="000000" w:sz="4" w:space="0"/>
              <w:left w:val="nil"/>
              <w:bottom w:val="single" w:color="000000" w:sz="4" w:space="0"/>
              <w:right w:val="single" w:color="000000" w:sz="4" w:space="0"/>
            </w:tcBorders>
            <w:noWrap/>
            <w:vAlign w:val="center"/>
          </w:tcPr>
          <w:p w14:paraId="1CCF6B9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6.5</w:t>
            </w:r>
          </w:p>
        </w:tc>
      </w:tr>
      <w:tr w14:paraId="4A6A23C8">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890A4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批均值：</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0961790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0.71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60213A4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0.72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28725D5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0.69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38738D8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0.71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0B4D7B7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0.71 </w:t>
            </w:r>
          </w:p>
        </w:tc>
        <w:tc>
          <w:tcPr>
            <w:tcW w:w="807" w:type="dxa"/>
            <w:gridSpan w:val="2"/>
            <w:tcBorders>
              <w:top w:val="single" w:color="000000" w:sz="4" w:space="0"/>
              <w:left w:val="nil"/>
              <w:bottom w:val="single" w:color="000000" w:sz="4" w:space="0"/>
              <w:right w:val="single" w:color="000000" w:sz="4" w:space="0"/>
            </w:tcBorders>
            <w:shd w:val="clear" w:color="auto" w:fill="FFFFFF"/>
            <w:noWrap/>
            <w:vAlign w:val="center"/>
          </w:tcPr>
          <w:p w14:paraId="7EF17A0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6.50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0175A70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6.54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77B768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6.54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2832F0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6.52 </w:t>
            </w:r>
          </w:p>
        </w:tc>
        <w:tc>
          <w:tcPr>
            <w:tcW w:w="813" w:type="dxa"/>
            <w:tcBorders>
              <w:top w:val="single" w:color="000000" w:sz="4" w:space="0"/>
              <w:left w:val="nil"/>
              <w:bottom w:val="single" w:color="000000" w:sz="4" w:space="0"/>
              <w:right w:val="single" w:color="000000" w:sz="4" w:space="0"/>
            </w:tcBorders>
            <w:shd w:val="clear" w:color="auto" w:fill="FFFFFF"/>
            <w:noWrap/>
            <w:vAlign w:val="center"/>
          </w:tcPr>
          <w:p w14:paraId="1F39ABC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6.53 </w:t>
            </w:r>
          </w:p>
        </w:tc>
      </w:tr>
      <w:tr w14:paraId="3A98F0F5">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B3732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批标准差</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BCBF5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0.01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3BF6324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0.02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4DD0FA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0.01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40D6A22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0.01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705C7A1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0.01 </w:t>
            </w:r>
          </w:p>
        </w:tc>
        <w:tc>
          <w:tcPr>
            <w:tcW w:w="807" w:type="dxa"/>
            <w:gridSpan w:val="2"/>
            <w:tcBorders>
              <w:top w:val="single" w:color="000000" w:sz="4" w:space="0"/>
              <w:left w:val="nil"/>
              <w:bottom w:val="single" w:color="000000" w:sz="4" w:space="0"/>
              <w:right w:val="single" w:color="000000" w:sz="4" w:space="0"/>
            </w:tcBorders>
            <w:shd w:val="clear" w:color="auto" w:fill="FFFFFF"/>
            <w:noWrap/>
            <w:vAlign w:val="center"/>
          </w:tcPr>
          <w:p w14:paraId="6C00CB2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0.02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4B06FD2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0.03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530E6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0.03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7C5EFE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0.04 </w:t>
            </w:r>
          </w:p>
        </w:tc>
        <w:tc>
          <w:tcPr>
            <w:tcW w:w="813" w:type="dxa"/>
            <w:tcBorders>
              <w:top w:val="single" w:color="000000" w:sz="4" w:space="0"/>
              <w:left w:val="nil"/>
              <w:bottom w:val="single" w:color="000000" w:sz="4" w:space="0"/>
              <w:right w:val="single" w:color="000000" w:sz="4" w:space="0"/>
            </w:tcBorders>
            <w:shd w:val="clear" w:color="auto" w:fill="FFFFFF"/>
            <w:noWrap/>
            <w:vAlign w:val="center"/>
          </w:tcPr>
          <w:p w14:paraId="623B02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0.06 </w:t>
            </w:r>
          </w:p>
        </w:tc>
      </w:tr>
      <w:tr w14:paraId="48298E78">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19A2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方差</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2AD56E5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4381513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EB09DE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0771E6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B89C9C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gridSpan w:val="2"/>
            <w:tcBorders>
              <w:top w:val="single" w:color="000000" w:sz="4" w:space="0"/>
              <w:left w:val="nil"/>
              <w:bottom w:val="single" w:color="000000" w:sz="4" w:space="0"/>
              <w:right w:val="single" w:color="000000" w:sz="4" w:space="0"/>
            </w:tcBorders>
            <w:shd w:val="clear" w:color="auto" w:fill="FFFFFF"/>
            <w:noWrap/>
            <w:vAlign w:val="center"/>
          </w:tcPr>
          <w:p w14:paraId="4C2070A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184DF3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714EA4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07" w:type="dxa"/>
            <w:tcBorders>
              <w:top w:val="single" w:color="000000" w:sz="4" w:space="0"/>
              <w:left w:val="nil"/>
              <w:bottom w:val="single" w:color="000000" w:sz="4" w:space="0"/>
              <w:right w:val="single" w:color="000000" w:sz="4" w:space="0"/>
            </w:tcBorders>
            <w:shd w:val="clear" w:color="auto" w:fill="FFFFFF"/>
            <w:noWrap/>
            <w:vAlign w:val="center"/>
          </w:tcPr>
          <w:p w14:paraId="59D879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c>
          <w:tcPr>
            <w:tcW w:w="813" w:type="dxa"/>
            <w:tcBorders>
              <w:top w:val="single" w:color="000000" w:sz="4" w:space="0"/>
              <w:left w:val="nil"/>
              <w:bottom w:val="single" w:color="000000" w:sz="4" w:space="0"/>
              <w:right w:val="single" w:color="000000" w:sz="4" w:space="0"/>
            </w:tcBorders>
            <w:shd w:val="clear" w:color="auto" w:fill="FFFFFF"/>
            <w:noWrap/>
            <w:vAlign w:val="center"/>
          </w:tcPr>
          <w:p w14:paraId="36CFD0C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lang w:val="en-US" w:eastAsia="zh-CN"/>
              </w:rPr>
              <w:t xml:space="preserve">0.00 </w:t>
            </w:r>
          </w:p>
        </w:tc>
      </w:tr>
      <w:tr w14:paraId="45FA71DA">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B9A0E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总均值</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1AC0AC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0.709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1A66A68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6.525 </w:t>
            </w:r>
          </w:p>
        </w:tc>
      </w:tr>
      <w:tr w14:paraId="508E33D7">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63D4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批内方差Vr</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0D6F5E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0.000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1CCC966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0.001 </w:t>
            </w:r>
          </w:p>
        </w:tc>
      </w:tr>
      <w:tr w14:paraId="7474F9F3">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8A80E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批内标准差Sr</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708F3B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0.011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3304727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0.037 </w:t>
            </w:r>
          </w:p>
        </w:tc>
      </w:tr>
      <w:tr w14:paraId="3C9C6701">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C6B6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批间标准差Sb</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61F1587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0.009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27D62A5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0.019 </w:t>
            </w:r>
          </w:p>
        </w:tc>
      </w:tr>
      <w:tr w14:paraId="0F1B1761">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89297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批间方差Vb</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0CB4B35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0.000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1D3513D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0.000 </w:t>
            </w:r>
          </w:p>
        </w:tc>
      </w:tr>
      <w:tr w14:paraId="43113C8D">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159AC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Vr/Vb比值</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0B8C12E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1.481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70CE41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3.853 </w:t>
            </w:r>
          </w:p>
        </w:tc>
      </w:tr>
      <w:tr w14:paraId="5235E480">
        <w:tblPrEx>
          <w:tblCellMar>
            <w:top w:w="0" w:type="dxa"/>
            <w:left w:w="108" w:type="dxa"/>
            <w:bottom w:w="0" w:type="dxa"/>
            <w:right w:w="108" w:type="dxa"/>
          </w:tblCellMar>
        </w:tblPrEx>
        <w:trPr>
          <w:trHeight w:val="499"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D5F5A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rPr>
            </w:pPr>
            <w:r>
              <w:rPr>
                <w:rFonts w:hint="eastAsia" w:ascii="宋体" w:hAnsi="宋体" w:cs="Times New Roman"/>
                <w:color w:val="000000"/>
                <w:kern w:val="0"/>
                <w:sz w:val="20"/>
                <w:szCs w:val="20"/>
              </w:rPr>
              <w:t>总方差</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6040DD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0.000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0D930C1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0.001 </w:t>
            </w:r>
          </w:p>
        </w:tc>
      </w:tr>
      <w:tr w14:paraId="75E521FA">
        <w:tblPrEx>
          <w:tblCellMar>
            <w:top w:w="0" w:type="dxa"/>
            <w:left w:w="108" w:type="dxa"/>
            <w:bottom w:w="0" w:type="dxa"/>
            <w:right w:w="108" w:type="dxa"/>
          </w:tblCellMar>
        </w:tblPrEx>
        <w:trPr>
          <w:trHeight w:val="565"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88553F">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实验室内标准差S1</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240854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0.013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4C4CD4E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0.035 </w:t>
            </w:r>
          </w:p>
        </w:tc>
      </w:tr>
      <w:tr w14:paraId="57C85484">
        <w:tblPrEx>
          <w:tblCellMar>
            <w:top w:w="0" w:type="dxa"/>
            <w:left w:w="108" w:type="dxa"/>
            <w:bottom w:w="0" w:type="dxa"/>
            <w:right w:w="108" w:type="dxa"/>
          </w:tblCellMar>
        </w:tblPrEx>
        <w:trPr>
          <w:trHeight w:val="522" w:hRule="atLeast"/>
        </w:trPr>
        <w:tc>
          <w:tcPr>
            <w:tcW w:w="59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5E9F74">
            <w:pPr>
              <w:widowControl/>
              <w:spacing w:line="360" w:lineRule="auto"/>
              <w:jc w:val="center"/>
              <w:textAlignment w:val="center"/>
              <w:rPr>
                <w:rFonts w:hint="eastAsia" w:ascii="宋体" w:hAnsi="宋体" w:cs="Times New Roman"/>
                <w:color w:val="000000"/>
                <w:sz w:val="20"/>
                <w:szCs w:val="20"/>
              </w:rPr>
            </w:pPr>
            <w:r>
              <w:rPr>
                <w:rFonts w:hint="eastAsia" w:ascii="宋体" w:hAnsi="宋体" w:cs="Times New Roman"/>
                <w:color w:val="000000"/>
                <w:kern w:val="0"/>
                <w:sz w:val="20"/>
                <w:szCs w:val="20"/>
              </w:rPr>
              <w:t>实验室变异系数</w:t>
            </w:r>
          </w:p>
        </w:tc>
        <w:tc>
          <w:tcPr>
            <w:tcW w:w="4038" w:type="dxa"/>
            <w:gridSpan w:val="6"/>
            <w:tcBorders>
              <w:top w:val="single" w:color="000000" w:sz="4" w:space="0"/>
              <w:left w:val="nil"/>
              <w:bottom w:val="single" w:color="000000" w:sz="4" w:space="0"/>
              <w:right w:val="single" w:color="000000" w:sz="4" w:space="0"/>
            </w:tcBorders>
            <w:shd w:val="clear" w:color="auto" w:fill="FFFFFF"/>
            <w:noWrap/>
            <w:vAlign w:val="center"/>
          </w:tcPr>
          <w:p w14:paraId="159416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1.838 </w:t>
            </w:r>
          </w:p>
        </w:tc>
        <w:tc>
          <w:tcPr>
            <w:tcW w:w="4038" w:type="dxa"/>
            <w:gridSpan w:val="5"/>
            <w:tcBorders>
              <w:top w:val="single" w:color="000000" w:sz="4" w:space="0"/>
              <w:left w:val="nil"/>
              <w:bottom w:val="single" w:color="000000" w:sz="4" w:space="0"/>
              <w:right w:val="single" w:color="000000" w:sz="4" w:space="0"/>
            </w:tcBorders>
            <w:shd w:val="clear" w:color="auto" w:fill="FFFFFF"/>
            <w:noWrap/>
            <w:vAlign w:val="center"/>
          </w:tcPr>
          <w:p w14:paraId="7277D4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0.540 </w:t>
            </w:r>
          </w:p>
        </w:tc>
      </w:tr>
    </w:tbl>
    <w:p w14:paraId="600FEACC">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lang w:eastAsia="zh-CN"/>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w:t>
      </w:r>
      <w:r>
        <w:rPr>
          <w:rFonts w:hint="eastAsia" w:ascii="仿宋_GB2312" w:eastAsia="仿宋_GB2312"/>
          <w:color w:val="000000" w:themeColor="text1"/>
          <w:sz w:val="22"/>
          <w:szCs w:val="22"/>
          <w:lang w:val="en-US" w:eastAsia="zh-CN"/>
          <w14:textFill>
            <w14:solidFill>
              <w14:schemeClr w14:val="tx1"/>
            </w14:solidFill>
          </w14:textFill>
        </w:rPr>
        <w:t>6.2</w:t>
      </w:r>
      <w:r>
        <w:rPr>
          <w:rFonts w:hint="eastAsia" w:ascii="仿宋_GB2312" w:eastAsia="仿宋_GB2312"/>
          <w:color w:val="000000" w:themeColor="text1"/>
          <w:sz w:val="22"/>
          <w:szCs w:val="22"/>
          <w14:textFill>
            <w14:solidFill>
              <w14:schemeClr w14:val="tx1"/>
            </w14:solidFill>
          </w14:textFill>
        </w:rPr>
        <w:t xml:space="preserve">  精密度验证数据</w:t>
      </w:r>
      <w:r>
        <w:rPr>
          <w:rFonts w:hint="eastAsia" w:ascii="仿宋_GB2312" w:eastAsia="仿宋_GB2312"/>
          <w:color w:val="000000" w:themeColor="text1"/>
          <w:sz w:val="22"/>
          <w:szCs w:val="22"/>
          <w:lang w:eastAsia="zh-CN"/>
          <w14:textFill>
            <w14:solidFill>
              <w14:schemeClr w14:val="tx1"/>
            </w14:solidFill>
          </w14:textFill>
        </w:rPr>
        <w:t>（</w:t>
      </w:r>
      <w:r>
        <w:rPr>
          <w:rFonts w:hint="eastAsia" w:ascii="仿宋_GB2312" w:eastAsia="仿宋_GB2312"/>
          <w:color w:val="000000" w:themeColor="text1"/>
          <w:sz w:val="22"/>
          <w:szCs w:val="22"/>
          <w:lang w:val="en-US" w:eastAsia="zh-CN"/>
          <w14:textFill>
            <w14:solidFill>
              <w14:schemeClr w14:val="tx1"/>
            </w14:solidFill>
          </w14:textFill>
        </w:rPr>
        <w:t>水平3、4</w:t>
      </w:r>
      <w:r>
        <w:rPr>
          <w:rFonts w:hint="eastAsia" w:ascii="仿宋_GB2312" w:eastAsia="仿宋_GB2312"/>
          <w:color w:val="000000" w:themeColor="text1"/>
          <w:sz w:val="22"/>
          <w:szCs w:val="22"/>
          <w:lang w:eastAsia="zh-CN"/>
          <w14:textFill>
            <w14:solidFill>
              <w14:schemeClr w14:val="tx1"/>
            </w14:solidFill>
          </w14:textFill>
        </w:rPr>
        <w:t>）</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15"/>
        <w:gridCol w:w="815"/>
        <w:gridCol w:w="816"/>
        <w:gridCol w:w="816"/>
        <w:gridCol w:w="816"/>
        <w:gridCol w:w="816"/>
        <w:gridCol w:w="816"/>
        <w:gridCol w:w="816"/>
        <w:gridCol w:w="816"/>
        <w:gridCol w:w="816"/>
        <w:gridCol w:w="816"/>
      </w:tblGrid>
      <w:tr w14:paraId="64CFC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C63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试验结果</w:t>
            </w:r>
          </w:p>
        </w:tc>
      </w:tr>
      <w:tr w14:paraId="2A9E9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EDA3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质控品</w:t>
            </w:r>
          </w:p>
          <w:p w14:paraId="54DED1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水平</w:t>
            </w:r>
          </w:p>
        </w:tc>
        <w:tc>
          <w:tcPr>
            <w:tcW w:w="217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1A8DC0">
            <w:pPr>
              <w:widowControl/>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Level 3</w:t>
            </w:r>
          </w:p>
        </w:tc>
        <w:tc>
          <w:tcPr>
            <w:tcW w:w="2173"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080F4">
            <w:pPr>
              <w:widowControl/>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cs="Times New Roman"/>
                <w:color w:val="000000"/>
                <w:kern w:val="0"/>
                <w:sz w:val="20"/>
                <w:szCs w:val="20"/>
                <w:lang w:val="en-US" w:eastAsia="zh-CN"/>
              </w:rPr>
              <w:t>Level 4</w:t>
            </w:r>
          </w:p>
        </w:tc>
      </w:tr>
      <w:tr w14:paraId="20F8F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06E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测试批次</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F352A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第1天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D7F5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第2天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124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第3天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2245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第4天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F90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第5天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42FB7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第1天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0A169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第2天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38BAD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第3天</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5FEFC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第4天</w:t>
            </w:r>
          </w:p>
        </w:tc>
        <w:tc>
          <w:tcPr>
            <w:tcW w:w="43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0367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第5天</w:t>
            </w:r>
          </w:p>
        </w:tc>
      </w:tr>
      <w:tr w14:paraId="3C9B3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20CCC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第一次测量结果</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9AC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A175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0.51</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A149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0.52</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7AB1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0.54</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2E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B39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2.98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DDD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26A2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C5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BEE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w:t>
            </w:r>
          </w:p>
        </w:tc>
      </w:tr>
      <w:tr w14:paraId="4860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38BB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第二次测量结果</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BE1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C49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85A1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0.49</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2C49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0.54</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E29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47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B8D4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EAD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78CC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3.12</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7E1A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3.15</w:t>
            </w:r>
          </w:p>
        </w:tc>
      </w:tr>
      <w:tr w14:paraId="1FA40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C25A9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第三次测量结果</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F831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0.49</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24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CB2A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0.48</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A8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E19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0.52</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CC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2.97</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EC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3.03</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F326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3.09</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DA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3.15</w:t>
            </w: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F17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3.15</w:t>
            </w:r>
          </w:p>
        </w:tc>
      </w:tr>
      <w:tr w14:paraId="1EB6B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20ACB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批均值：</w:t>
            </w:r>
          </w:p>
        </w:tc>
        <w:tc>
          <w:tcPr>
            <w:tcW w:w="8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358FD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FEF9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0.51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15C1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E979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0.54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70661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0.53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E71B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D2436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3.02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A78B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3.07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1CD8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3.11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2AB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3.13 </w:t>
            </w:r>
          </w:p>
        </w:tc>
      </w:tr>
      <w:tr w14:paraId="4A873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D8079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批标准差</w:t>
            </w:r>
          </w:p>
        </w:tc>
        <w:tc>
          <w:tcPr>
            <w:tcW w:w="8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3B93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C7CA4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0.02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0185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0.02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8628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90B5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0.01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55CF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0.04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6B6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0.02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88B8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0.02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A048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0.05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9A870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0.03 </w:t>
            </w:r>
          </w:p>
        </w:tc>
      </w:tr>
      <w:tr w14:paraId="30D25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4B7BE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方差</w:t>
            </w:r>
          </w:p>
        </w:tc>
        <w:tc>
          <w:tcPr>
            <w:tcW w:w="81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EB998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6CA89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027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0BE8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812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F91D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04CE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CA7F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E3D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c>
          <w:tcPr>
            <w:tcW w:w="81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EFD67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0.00 </w:t>
            </w:r>
          </w:p>
        </w:tc>
      </w:tr>
      <w:tr w14:paraId="110B1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3079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总均值</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22E250">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0.514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60C3D">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3.066 </w:t>
            </w:r>
          </w:p>
        </w:tc>
      </w:tr>
      <w:tr w14:paraId="6CE2D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1D30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批内方差Vr</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8031A4">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0.000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D79C9D">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0.001 </w:t>
            </w:r>
          </w:p>
        </w:tc>
      </w:tr>
      <w:tr w14:paraId="6FE50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2BDE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批内标准差Sr</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1FD565">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0.012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AE72D3">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0.035 </w:t>
            </w:r>
          </w:p>
        </w:tc>
      </w:tr>
      <w:tr w14:paraId="39722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BA9A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批间标准差Sb</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AD1E17">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0.018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60B364">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0.056 </w:t>
            </w:r>
          </w:p>
        </w:tc>
      </w:tr>
      <w:tr w14:paraId="63300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06A0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批间方差Vb</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AAE68">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0.000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DFD6CE">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0.003 </w:t>
            </w:r>
          </w:p>
        </w:tc>
      </w:tr>
      <w:tr w14:paraId="2523D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10A12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Vr/Vb比值</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FBCEC">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0.481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04560">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0.383 </w:t>
            </w:r>
          </w:p>
        </w:tc>
      </w:tr>
      <w:tr w14:paraId="2CD72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9A194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总方差</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61498">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0.000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6F701B">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0.004 </w:t>
            </w:r>
          </w:p>
        </w:tc>
      </w:tr>
      <w:tr w14:paraId="25E49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0E6B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实验室内标准差S1</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9343A">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0.021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2ADA60">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0.063 </w:t>
            </w:r>
          </w:p>
        </w:tc>
      </w:tr>
      <w:tr w14:paraId="02A4A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8" w:hRule="atLeast"/>
        </w:trPr>
        <w:tc>
          <w:tcPr>
            <w:tcW w:w="6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BBAB1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实验室变异系数</w:t>
            </w:r>
          </w:p>
        </w:tc>
        <w:tc>
          <w:tcPr>
            <w:tcW w:w="4079"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B61789">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3.992 </w:t>
            </w:r>
          </w:p>
        </w:tc>
        <w:tc>
          <w:tcPr>
            <w:tcW w:w="4080" w:type="dxa"/>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5703D1">
            <w:pPr>
              <w:keepNext w:val="0"/>
              <w:keepLines w:val="0"/>
              <w:widowControl/>
              <w:suppressLineNumbers w:val="0"/>
              <w:jc w:val="center"/>
              <w:textAlignment w:val="center"/>
              <w:rPr>
                <w:rFonts w:hint="eastAsia" w:ascii="宋体" w:hAnsi="宋体" w:cs="Times New Roman"/>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2.057 </w:t>
            </w:r>
          </w:p>
        </w:tc>
      </w:tr>
    </w:tbl>
    <w:p w14:paraId="64959207">
      <w:pPr>
        <w:spacing w:line="520" w:lineRule="exact"/>
        <w:ind w:firstLine="640" w:firstLineChars="200"/>
        <w:rPr>
          <w:rFonts w:hint="eastAsia" w:ascii="仿宋_GB2312" w:eastAsia="仿宋_GB2312"/>
          <w:b/>
          <w:bCs/>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w:t>
      </w:r>
      <w:r>
        <w:rPr>
          <w:rFonts w:hint="eastAsia" w:ascii="仿宋_GB2312" w:eastAsia="仿宋_GB2312"/>
          <w:bCs/>
          <w:color w:val="000000" w:themeColor="text1"/>
          <w:sz w:val="32"/>
          <w:szCs w:val="32"/>
          <w14:textFill>
            <w14:solidFill>
              <w14:schemeClr w14:val="tx1"/>
            </w14:solidFill>
          </w14:textFill>
        </w:rPr>
        <w:t>肺炎衣原体IgG测定试剂盒（化学发光法）</w:t>
      </w:r>
      <w:r>
        <w:rPr>
          <w:rFonts w:hint="eastAsia" w:ascii="仿宋_GB2312" w:eastAsia="仿宋_GB2312"/>
          <w:bCs/>
          <w:color w:val="000000" w:themeColor="text1"/>
          <w:sz w:val="32"/>
          <w:szCs w:val="32"/>
          <w14:textFill>
            <w14:solidFill>
              <w14:schemeClr w14:val="tx1"/>
            </w14:solidFill>
          </w14:textFill>
        </w:rPr>
        <w:t>的精密度CV为不大于15，实验水平1样本CV为</w:t>
      </w:r>
      <w:r>
        <w:rPr>
          <w:rFonts w:hint="eastAsia" w:ascii="仿宋_GB2312" w:eastAsia="仿宋_GB2312"/>
          <w:bCs/>
          <w:color w:val="000000" w:themeColor="text1"/>
          <w:sz w:val="32"/>
          <w:szCs w:val="32"/>
          <w:lang w:val="en-US" w:eastAsia="zh-CN"/>
          <w14:textFill>
            <w14:solidFill>
              <w14:schemeClr w14:val="tx1"/>
            </w14:solidFill>
          </w14:textFill>
        </w:rPr>
        <w:t>1.838</w:t>
      </w:r>
      <w:r>
        <w:rPr>
          <w:rFonts w:hint="eastAsia" w:ascii="仿宋_GB2312" w:eastAsia="仿宋_GB2312"/>
          <w:bCs/>
          <w:color w:val="000000" w:themeColor="text1"/>
          <w:sz w:val="32"/>
          <w:szCs w:val="32"/>
          <w14:textFill>
            <w14:solidFill>
              <w14:schemeClr w14:val="tx1"/>
            </w14:solidFill>
          </w14:textFill>
        </w:rPr>
        <w:t>，水平2样本CV为</w:t>
      </w:r>
      <w:r>
        <w:rPr>
          <w:rFonts w:hint="eastAsia" w:ascii="仿宋_GB2312" w:eastAsia="仿宋_GB2312"/>
          <w:bCs/>
          <w:color w:val="000000" w:themeColor="text1"/>
          <w:sz w:val="32"/>
          <w:szCs w:val="32"/>
          <w:lang w:val="en-US" w:eastAsia="zh-CN"/>
          <w14:textFill>
            <w14:solidFill>
              <w14:schemeClr w14:val="tx1"/>
            </w14:solidFill>
          </w14:textFill>
        </w:rPr>
        <w:t>0.54</w:t>
      </w:r>
      <w:r>
        <w:rPr>
          <w:rFonts w:hint="eastAsia" w:ascii="仿宋_GB2312" w:eastAsia="仿宋_GB2312"/>
          <w:bCs/>
          <w:color w:val="000000" w:themeColor="text1"/>
          <w:sz w:val="32"/>
          <w:szCs w:val="32"/>
          <w14:textFill>
            <w14:solidFill>
              <w14:schemeClr w14:val="tx1"/>
            </w14:solidFill>
          </w14:textFill>
        </w:rPr>
        <w:t>，水平</w:t>
      </w:r>
      <w:r>
        <w:rPr>
          <w:rFonts w:hint="eastAsia" w:ascii="仿宋_GB2312" w:eastAsia="仿宋_GB2312"/>
          <w:bCs/>
          <w:color w:val="000000" w:themeColor="text1"/>
          <w:sz w:val="32"/>
          <w:szCs w:val="32"/>
          <w:lang w:val="en-US" w:eastAsia="zh-CN"/>
          <w14:textFill>
            <w14:solidFill>
              <w14:schemeClr w14:val="tx1"/>
            </w14:solidFill>
          </w14:textFill>
        </w:rPr>
        <w:t>3</w:t>
      </w:r>
      <w:r>
        <w:rPr>
          <w:rFonts w:hint="eastAsia" w:ascii="仿宋_GB2312" w:eastAsia="仿宋_GB2312"/>
          <w:bCs/>
          <w:color w:val="000000" w:themeColor="text1"/>
          <w:sz w:val="32"/>
          <w:szCs w:val="32"/>
          <w14:textFill>
            <w14:solidFill>
              <w14:schemeClr w14:val="tx1"/>
            </w14:solidFill>
          </w14:textFill>
        </w:rPr>
        <w:t>样本CV为</w:t>
      </w:r>
      <w:r>
        <w:rPr>
          <w:rFonts w:hint="eastAsia" w:ascii="仿宋_GB2312" w:eastAsia="仿宋_GB2312"/>
          <w:bCs/>
          <w:color w:val="000000" w:themeColor="text1"/>
          <w:sz w:val="32"/>
          <w:szCs w:val="32"/>
          <w:lang w:val="en-US" w:eastAsia="zh-CN"/>
          <w14:textFill>
            <w14:solidFill>
              <w14:schemeClr w14:val="tx1"/>
            </w14:solidFill>
          </w14:textFill>
        </w:rPr>
        <w:t>3.992</w:t>
      </w:r>
      <w:r>
        <w:rPr>
          <w:rFonts w:hint="eastAsia" w:ascii="仿宋_GB2312" w:eastAsia="仿宋_GB2312"/>
          <w:bCs/>
          <w:color w:val="000000" w:themeColor="text1"/>
          <w:sz w:val="32"/>
          <w:szCs w:val="32"/>
          <w14:textFill>
            <w14:solidFill>
              <w14:schemeClr w14:val="tx1"/>
            </w14:solidFill>
          </w14:textFill>
        </w:rPr>
        <w:t>，水平</w:t>
      </w:r>
      <w:r>
        <w:rPr>
          <w:rFonts w:hint="eastAsia" w:ascii="仿宋_GB2312" w:eastAsia="仿宋_GB2312"/>
          <w:bCs/>
          <w:color w:val="000000" w:themeColor="text1"/>
          <w:sz w:val="32"/>
          <w:szCs w:val="32"/>
          <w:lang w:val="en-US" w:eastAsia="zh-CN"/>
          <w14:textFill>
            <w14:solidFill>
              <w14:schemeClr w14:val="tx1"/>
            </w14:solidFill>
          </w14:textFill>
        </w:rPr>
        <w:t>4</w:t>
      </w:r>
      <w:r>
        <w:rPr>
          <w:rFonts w:hint="eastAsia" w:ascii="仿宋_GB2312" w:eastAsia="仿宋_GB2312"/>
          <w:bCs/>
          <w:color w:val="000000" w:themeColor="text1"/>
          <w:sz w:val="32"/>
          <w:szCs w:val="32"/>
          <w14:textFill>
            <w14:solidFill>
              <w14:schemeClr w14:val="tx1"/>
            </w14:solidFill>
          </w14:textFill>
        </w:rPr>
        <w:t>样本CV为</w:t>
      </w:r>
      <w:r>
        <w:rPr>
          <w:rFonts w:hint="eastAsia" w:ascii="仿宋_GB2312" w:eastAsia="仿宋_GB2312"/>
          <w:bCs/>
          <w:color w:val="000000" w:themeColor="text1"/>
          <w:sz w:val="32"/>
          <w:szCs w:val="32"/>
          <w:lang w:val="en-US" w:eastAsia="zh-CN"/>
          <w14:textFill>
            <w14:solidFill>
              <w14:schemeClr w14:val="tx1"/>
            </w14:solidFill>
          </w14:textFill>
        </w:rPr>
        <w:t>2.057</w:t>
      </w:r>
      <w:r>
        <w:rPr>
          <w:rFonts w:hint="eastAsia" w:ascii="仿宋_GB2312" w:eastAsia="仿宋_GB2312"/>
          <w:bCs/>
          <w:color w:val="000000" w:themeColor="text1"/>
          <w:sz w:val="32"/>
          <w:szCs w:val="32"/>
          <w14:textFill>
            <w14:solidFill>
              <w14:schemeClr w14:val="tx1"/>
            </w14:solidFill>
          </w14:textFill>
        </w:rPr>
        <w:t>，符合要求。</w:t>
      </w:r>
    </w:p>
    <w:p w14:paraId="1CDFBC71">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2.符合率</w:t>
      </w:r>
    </w:p>
    <w:p w14:paraId="44DA3812">
      <w:pPr>
        <w:spacing w:line="520" w:lineRule="exact"/>
        <w:ind w:firstLine="640"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收集</w:t>
      </w:r>
      <w:r>
        <w:rPr>
          <w:rFonts w:hint="eastAsia" w:ascii="仿宋_GB2312" w:eastAsia="仿宋_GB2312"/>
          <w:color w:val="000000" w:themeColor="text1"/>
          <w:sz w:val="32"/>
          <w:szCs w:val="32"/>
          <w:lang w:val="en-US" w:eastAsia="zh-CN"/>
          <w14:textFill>
            <w14:solidFill>
              <w14:schemeClr w14:val="tx1"/>
            </w14:solidFill>
          </w14:textFill>
        </w:rPr>
        <w:t>不同单位</w:t>
      </w:r>
      <w:r>
        <w:rPr>
          <w:rFonts w:hint="eastAsia" w:ascii="仿宋_GB2312" w:eastAsia="仿宋_GB2312"/>
          <w:color w:val="000000" w:themeColor="text1"/>
          <w:sz w:val="32"/>
          <w:szCs w:val="32"/>
          <w14:textFill>
            <w14:solidFill>
              <w14:schemeClr w14:val="tx1"/>
            </w14:solidFill>
          </w14:textFill>
        </w:rPr>
        <w:t>样本：10阴性、10阳性，共20例样本，用亚辉龙发光检测，记录结果。通过符合性或者相关系数R</w:t>
      </w:r>
      <w:r>
        <w:rPr>
          <w:rFonts w:hint="eastAsia" w:ascii="仿宋_GB2312" w:eastAsia="仿宋_GB2312"/>
          <w:color w:val="000000" w:themeColor="text1"/>
          <w:sz w:val="32"/>
          <w:szCs w:val="32"/>
          <w:vertAlign w:val="superscript"/>
          <w14:textFill>
            <w14:solidFill>
              <w14:schemeClr w14:val="tx1"/>
            </w14:solidFill>
          </w14:textFill>
        </w:rPr>
        <w:t>2</w:t>
      </w:r>
      <w:r>
        <w:rPr>
          <w:rFonts w:hint="eastAsia" w:ascii="仿宋_GB2312" w:eastAsia="仿宋_GB2312"/>
          <w:color w:val="000000" w:themeColor="text1"/>
          <w:sz w:val="32"/>
          <w:szCs w:val="32"/>
          <w14:textFill>
            <w14:solidFill>
              <w14:schemeClr w14:val="tx1"/>
            </w14:solidFill>
          </w14:textFill>
        </w:rPr>
        <w:t>等统计方法评价结果，符合率≥80%。依据标准为WS/T 492-2016《临床检验定量测定项目精密度与正确度性能验证》。符合率验证数据见表</w:t>
      </w:r>
      <w:r>
        <w:rPr>
          <w:rFonts w:hint="eastAsia" w:ascii="仿宋_GB2312" w:eastAsia="仿宋_GB2312"/>
          <w:color w:val="000000" w:themeColor="text1"/>
          <w:sz w:val="32"/>
          <w:szCs w:val="32"/>
          <w:lang w:val="en-US" w:eastAsia="zh-CN"/>
          <w14:textFill>
            <w14:solidFill>
              <w14:schemeClr w14:val="tx1"/>
            </w14:solidFill>
          </w14:textFill>
        </w:rPr>
        <w:t>7</w:t>
      </w:r>
      <w:r>
        <w:rPr>
          <w:rFonts w:hint="eastAsia" w:ascii="仿宋_GB2312" w:eastAsia="仿宋_GB2312"/>
          <w:color w:val="000000" w:themeColor="text1"/>
          <w:sz w:val="32"/>
          <w:szCs w:val="32"/>
          <w14:textFill>
            <w14:solidFill>
              <w14:schemeClr w14:val="tx1"/>
            </w14:solidFill>
          </w14:textFill>
        </w:rPr>
        <w:t>。</w:t>
      </w:r>
    </w:p>
    <w:p w14:paraId="4254B33C">
      <w:pPr>
        <w:spacing w:line="520"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p>
    <w:p w14:paraId="5726DCEC">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w:t>
      </w:r>
      <w:r>
        <w:rPr>
          <w:rFonts w:hint="eastAsia" w:ascii="仿宋_GB2312" w:eastAsia="仿宋_GB2312"/>
          <w:color w:val="000000" w:themeColor="text1"/>
          <w:sz w:val="22"/>
          <w:szCs w:val="22"/>
          <w:lang w:val="en-US" w:eastAsia="zh-CN"/>
          <w14:textFill>
            <w14:solidFill>
              <w14:schemeClr w14:val="tx1"/>
            </w14:solidFill>
          </w14:textFill>
        </w:rPr>
        <w:t>7</w:t>
      </w:r>
      <w:r>
        <w:rPr>
          <w:rFonts w:hint="eastAsia" w:ascii="仿宋_GB2312" w:eastAsia="仿宋_GB2312"/>
          <w:color w:val="000000" w:themeColor="text1"/>
          <w:sz w:val="22"/>
          <w:szCs w:val="22"/>
          <w14:textFill>
            <w14:solidFill>
              <w14:schemeClr w14:val="tx1"/>
            </w14:solidFill>
          </w14:textFill>
        </w:rPr>
        <w:t xml:space="preserve">  符合率验证数据</w:t>
      </w:r>
    </w:p>
    <w:tbl>
      <w:tblPr>
        <w:tblStyle w:val="17"/>
        <w:tblW w:w="4996" w:type="pct"/>
        <w:tblInd w:w="0" w:type="dxa"/>
        <w:tblLayout w:type="autofit"/>
        <w:tblCellMar>
          <w:top w:w="0" w:type="dxa"/>
          <w:left w:w="108" w:type="dxa"/>
          <w:bottom w:w="0" w:type="dxa"/>
          <w:right w:w="108" w:type="dxa"/>
        </w:tblCellMar>
      </w:tblPr>
      <w:tblGrid>
        <w:gridCol w:w="872"/>
        <w:gridCol w:w="820"/>
        <w:gridCol w:w="820"/>
        <w:gridCol w:w="820"/>
        <w:gridCol w:w="868"/>
        <w:gridCol w:w="3870"/>
        <w:gridCol w:w="1097"/>
      </w:tblGrid>
      <w:tr w14:paraId="66B55015">
        <w:tblPrEx>
          <w:tblCellMar>
            <w:top w:w="0" w:type="dxa"/>
            <w:left w:w="108" w:type="dxa"/>
            <w:bottom w:w="0" w:type="dxa"/>
            <w:right w:w="108" w:type="dxa"/>
          </w:tblCellMar>
        </w:tblPrEx>
        <w:trPr>
          <w:trHeight w:val="420" w:hRule="atLeast"/>
        </w:trPr>
        <w:tc>
          <w:tcPr>
            <w:tcW w:w="476"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E2D9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cs="Times New Roman"/>
                <w:color w:val="000000"/>
                <w:sz w:val="22"/>
                <w:szCs w:val="22"/>
              </w:rPr>
            </w:pPr>
            <w:r>
              <w:rPr>
                <w:rFonts w:hint="eastAsia" w:ascii="宋体" w:hAnsi="宋体" w:cs="Times New Roman"/>
                <w:color w:val="000000"/>
                <w:kern w:val="0"/>
                <w:sz w:val="20"/>
                <w:szCs w:val="20"/>
                <w:lang w:val="en-US" w:eastAsia="zh-CN"/>
              </w:rPr>
              <w:t>标本号</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58D3FA9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CEEA1C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单位2</w:t>
            </w:r>
          </w:p>
        </w:tc>
        <w:tc>
          <w:tcPr>
            <w:tcW w:w="447" w:type="pct"/>
            <w:tcBorders>
              <w:top w:val="single" w:color="000000" w:sz="4" w:space="0"/>
              <w:left w:val="nil"/>
              <w:bottom w:val="nil"/>
              <w:right w:val="single" w:color="000000" w:sz="4" w:space="0"/>
            </w:tcBorders>
            <w:shd w:val="clear" w:color="auto" w:fill="FFFFFF"/>
            <w:noWrap/>
            <w:vAlign w:val="center"/>
          </w:tcPr>
          <w:p w14:paraId="634AB6D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单位3</w:t>
            </w:r>
          </w:p>
        </w:tc>
        <w:tc>
          <w:tcPr>
            <w:tcW w:w="472" w:type="pct"/>
            <w:tcBorders>
              <w:top w:val="single" w:color="000000" w:sz="4" w:space="0"/>
              <w:left w:val="nil"/>
              <w:bottom w:val="nil"/>
              <w:right w:val="single" w:color="000000" w:sz="4" w:space="0"/>
            </w:tcBorders>
            <w:shd w:val="clear" w:color="auto" w:fill="FFFFFF"/>
            <w:noWrap/>
            <w:vAlign w:val="center"/>
          </w:tcPr>
          <w:p w14:paraId="7BF163A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单位4</w:t>
            </w:r>
          </w:p>
        </w:tc>
        <w:tc>
          <w:tcPr>
            <w:tcW w:w="2110" w:type="pct"/>
            <w:vMerge w:val="restart"/>
            <w:tcBorders>
              <w:top w:val="single" w:color="000000" w:sz="4" w:space="0"/>
              <w:left w:val="nil"/>
              <w:right w:val="single" w:color="000000" w:sz="4" w:space="0"/>
            </w:tcBorders>
            <w:shd w:val="clear" w:color="auto" w:fill="FFFFFF"/>
            <w:noWrap/>
            <w:vAlign w:val="center"/>
          </w:tcPr>
          <w:p w14:paraId="41C3149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阴阳性</w:t>
            </w:r>
          </w:p>
        </w:tc>
        <w:tc>
          <w:tcPr>
            <w:tcW w:w="598" w:type="pct"/>
            <w:vMerge w:val="restart"/>
            <w:tcBorders>
              <w:top w:val="single" w:color="000000" w:sz="4" w:space="0"/>
              <w:left w:val="nil"/>
              <w:bottom w:val="single" w:color="000000" w:sz="4" w:space="0"/>
              <w:right w:val="single" w:color="000000" w:sz="4" w:space="0"/>
            </w:tcBorders>
            <w:shd w:val="clear" w:color="auto" w:fill="FFFFFF"/>
            <w:noWrap/>
            <w:vAlign w:val="center"/>
          </w:tcPr>
          <w:p w14:paraId="6AAE5F8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结果判断</w:t>
            </w:r>
          </w:p>
        </w:tc>
      </w:tr>
      <w:tr w14:paraId="0B6E5973">
        <w:tblPrEx>
          <w:tblCellMar>
            <w:top w:w="0" w:type="dxa"/>
            <w:left w:w="108" w:type="dxa"/>
            <w:bottom w:w="0" w:type="dxa"/>
            <w:right w:w="108" w:type="dxa"/>
          </w:tblCellMar>
        </w:tblPrEx>
        <w:trPr>
          <w:trHeight w:val="420" w:hRule="atLeast"/>
        </w:trPr>
        <w:tc>
          <w:tcPr>
            <w:tcW w:w="476" w:type="pct"/>
            <w:vMerge w:val="continue"/>
            <w:tcBorders>
              <w:top w:val="single" w:color="000000" w:sz="4" w:space="0"/>
              <w:left w:val="single" w:color="000000" w:sz="4" w:space="0"/>
              <w:bottom w:val="single" w:color="000000" w:sz="4" w:space="0"/>
              <w:right w:val="single" w:color="000000" w:sz="4" w:space="0"/>
            </w:tcBorders>
            <w:vAlign w:val="center"/>
          </w:tcPr>
          <w:p w14:paraId="68059F3B">
            <w:pPr>
              <w:widowControl/>
              <w:jc w:val="left"/>
              <w:rPr>
                <w:rFonts w:ascii="宋体" w:hAnsi="宋体" w:cs="Times New Roman"/>
                <w:color w:val="000000"/>
                <w:sz w:val="22"/>
                <w:szCs w:val="22"/>
              </w:rPr>
            </w:pPr>
          </w:p>
        </w:tc>
        <w:tc>
          <w:tcPr>
            <w:tcW w:w="1814" w:type="pct"/>
            <w:gridSpan w:val="4"/>
            <w:tcBorders>
              <w:top w:val="single" w:color="000000" w:sz="4" w:space="0"/>
              <w:left w:val="nil"/>
              <w:bottom w:val="single" w:color="000000" w:sz="4" w:space="0"/>
              <w:right w:val="single" w:color="000000" w:sz="4" w:space="0"/>
            </w:tcBorders>
            <w:shd w:val="clear" w:color="auto" w:fill="FFFFFF"/>
            <w:noWrap/>
            <w:vAlign w:val="center"/>
          </w:tcPr>
          <w:p w14:paraId="1917C4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检测结果</w:t>
            </w:r>
          </w:p>
        </w:tc>
        <w:tc>
          <w:tcPr>
            <w:tcW w:w="2110" w:type="pct"/>
            <w:vMerge w:val="continue"/>
            <w:tcBorders>
              <w:left w:val="nil"/>
              <w:bottom w:val="single" w:color="000000" w:sz="4" w:space="0"/>
              <w:right w:val="single" w:color="000000" w:sz="4" w:space="0"/>
            </w:tcBorders>
            <w:shd w:val="clear" w:color="auto" w:fill="FFFFFF"/>
            <w:noWrap/>
            <w:vAlign w:val="center"/>
          </w:tcPr>
          <w:p w14:paraId="7F07A9EA">
            <w:pPr>
              <w:widowControl/>
              <w:spacing w:line="360" w:lineRule="auto"/>
              <w:jc w:val="center"/>
              <w:textAlignment w:val="center"/>
              <w:rPr>
                <w:rFonts w:hint="eastAsia" w:ascii="宋体" w:hAnsi="宋体" w:cs="Times New Roman"/>
                <w:color w:val="000000"/>
                <w:sz w:val="22"/>
                <w:szCs w:val="22"/>
              </w:rPr>
            </w:pPr>
          </w:p>
        </w:tc>
        <w:tc>
          <w:tcPr>
            <w:tcW w:w="598" w:type="pct"/>
            <w:vMerge w:val="continue"/>
            <w:tcBorders>
              <w:top w:val="single" w:color="000000" w:sz="4" w:space="0"/>
              <w:left w:val="nil"/>
              <w:bottom w:val="single" w:color="000000" w:sz="4" w:space="0"/>
              <w:right w:val="single" w:color="000000" w:sz="4" w:space="0"/>
            </w:tcBorders>
            <w:vAlign w:val="center"/>
          </w:tcPr>
          <w:p w14:paraId="7B79BED8">
            <w:pPr>
              <w:widowControl/>
              <w:jc w:val="left"/>
              <w:rPr>
                <w:rFonts w:ascii="宋体" w:hAnsi="宋体" w:cs="Times New Roman"/>
                <w:color w:val="000000"/>
                <w:sz w:val="22"/>
                <w:szCs w:val="22"/>
              </w:rPr>
            </w:pPr>
          </w:p>
        </w:tc>
      </w:tr>
      <w:tr w14:paraId="6B259C2C">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1B5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BA0107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0.07</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70F28E5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0.06</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00FB9D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0.12</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667A71F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277599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33B0607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68A481E">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FD02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C41CB4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0.06</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9DB2D1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3C81A1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0.24</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09D70AB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0.22</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BA9C7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261969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7CD31B7">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F78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3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2DD018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DB8706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0.19</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9674C6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0.55</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13D2761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2E10137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44EE49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7494DBC7">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1FD1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4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CCEF02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EF5143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E87886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0.54</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6BD61EB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0.54</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9E6A8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3F4AEA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E6981C3">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3576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5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19BDCA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7A829BD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0.18</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17EC8F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0.41</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3F521D6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0.43</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53D1D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D61A7F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570BF774">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4524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6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5EE46C5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0.06</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08BCF0B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50522DA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0.74</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470A07B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0.78</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35850A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0C62A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39C171B0">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9EA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7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0AB6CA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27DDF67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0.22</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52E70FD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3D82FDE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0.19</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3529DA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1C8CD5F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E0C5DB0">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095F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8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4EFC76B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3D76081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120273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0.08</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3DB1216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358E2AB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7D0CAFB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7B087AF6">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33803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9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B839D4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0.05</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57341CD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336A4D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0.53</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489EDFF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0.57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489E69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E4FFF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5599A64A">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C47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10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E33C16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3EECA8F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0.03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2676E9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0.32</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002667D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0.36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15864B5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阴性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52DB4F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0A4CB7D">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B762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11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4E7D6E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1.16</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6E4EAD4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1.23</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DB5311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1.08</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1122827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1.34</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5B90C5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23082F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C5A02AB">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5E78A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12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2F12F6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F6C10A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1.07</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9C4C8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2.92</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30CE1AC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3.78</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B5F9B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AE0C9F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13E99B3">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567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13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CC8A95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3.14</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63FCD0B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3.2</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09ACF5C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1.57</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1FA3032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1.84</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0B67A5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0FD6814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F8A1560">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6862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14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0EE6D0E">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5A46130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1.44</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7858464">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1.99</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2CA7D11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2.33</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91977C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EB4F17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577FE21D">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ED89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15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6179D20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2.01</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FA6C5A0">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1.99</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4A16B2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4.32</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4DE7869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5.35</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0EDAE9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0DA85F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54776DDC">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A838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16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3D0A8E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1.27</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7E552E2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1.37</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5150C5E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2.98</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59F3C2B7">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3.58</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206AAC4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0073726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B64438C">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11C3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17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4E0EE27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2.06</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400D9E9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2.17</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82CA6C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1.35</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62ABB286">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1.57</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CD7F04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6661A8D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293B0318">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9B3E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18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53FE3AC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1EBA067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2.31</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D61BD2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1.39</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54274BE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1.56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21156C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793240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10216F92">
        <w:tblPrEx>
          <w:tblCellMar>
            <w:top w:w="0" w:type="dxa"/>
            <w:left w:w="108" w:type="dxa"/>
            <w:bottom w:w="0" w:type="dxa"/>
            <w:right w:w="108" w:type="dxa"/>
          </w:tblCellMar>
        </w:tblPrEx>
        <w:trPr>
          <w:trHeight w:val="428"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C43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19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1221214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1.77</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36D9C85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1.88</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228600AC">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3.3</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742E148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3.16</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57434D6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EE1F8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符合</w:t>
            </w:r>
          </w:p>
        </w:tc>
      </w:tr>
      <w:tr w14:paraId="4D6F4943">
        <w:tblPrEx>
          <w:tblCellMar>
            <w:top w:w="0" w:type="dxa"/>
            <w:left w:w="108" w:type="dxa"/>
            <w:bottom w:w="0" w:type="dxa"/>
            <w:right w:w="108" w:type="dxa"/>
          </w:tblCellMar>
        </w:tblPrEx>
        <w:trPr>
          <w:trHeight w:val="420" w:hRule="atLeast"/>
        </w:trPr>
        <w:tc>
          <w:tcPr>
            <w:tcW w:w="47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09BE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 xml:space="preserve">20 </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32A8091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2.38</w:t>
            </w:r>
          </w:p>
        </w:tc>
        <w:tc>
          <w:tcPr>
            <w:tcW w:w="447" w:type="pct"/>
            <w:tcBorders>
              <w:top w:val="single" w:color="000000" w:sz="4" w:space="0"/>
              <w:left w:val="nil"/>
              <w:bottom w:val="single" w:color="000000" w:sz="4" w:space="0"/>
              <w:right w:val="single" w:color="000000" w:sz="4" w:space="0"/>
            </w:tcBorders>
            <w:shd w:val="clear" w:color="auto" w:fill="FFFFFF"/>
            <w:noWrap/>
            <w:vAlign w:val="center"/>
          </w:tcPr>
          <w:p w14:paraId="6BA4FCBF">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2.59</w:t>
            </w:r>
          </w:p>
        </w:tc>
        <w:tc>
          <w:tcPr>
            <w:tcW w:w="447" w:type="pct"/>
            <w:tcBorders>
              <w:top w:val="single" w:color="000000" w:sz="4" w:space="0"/>
              <w:left w:val="nil"/>
              <w:bottom w:val="single" w:color="000000" w:sz="4" w:space="0"/>
              <w:right w:val="single" w:color="000000" w:sz="4" w:space="0"/>
            </w:tcBorders>
            <w:shd w:val="clear" w:color="auto" w:fill="auto"/>
            <w:noWrap/>
            <w:vAlign w:val="center"/>
          </w:tcPr>
          <w:p w14:paraId="7066273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1.63</w:t>
            </w:r>
          </w:p>
        </w:tc>
        <w:tc>
          <w:tcPr>
            <w:tcW w:w="472" w:type="pct"/>
            <w:tcBorders>
              <w:top w:val="single" w:color="000000" w:sz="4" w:space="0"/>
              <w:left w:val="nil"/>
              <w:bottom w:val="single" w:color="000000" w:sz="4" w:space="0"/>
              <w:right w:val="single" w:color="000000" w:sz="4" w:space="0"/>
            </w:tcBorders>
            <w:shd w:val="clear" w:color="auto" w:fill="FFFFFF"/>
            <w:noWrap/>
            <w:vAlign w:val="center"/>
          </w:tcPr>
          <w:p w14:paraId="0743850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1.34</w:t>
            </w:r>
          </w:p>
        </w:tc>
        <w:tc>
          <w:tcPr>
            <w:tcW w:w="2110" w:type="pct"/>
            <w:tcBorders>
              <w:top w:val="single" w:color="000000" w:sz="4" w:space="0"/>
              <w:left w:val="nil"/>
              <w:bottom w:val="single" w:color="000000" w:sz="4" w:space="0"/>
              <w:right w:val="single" w:color="000000" w:sz="4" w:space="0"/>
            </w:tcBorders>
            <w:shd w:val="clear" w:color="auto" w:fill="FFFFFF"/>
            <w:noWrap/>
            <w:vAlign w:val="center"/>
          </w:tcPr>
          <w:p w14:paraId="72A76A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kern w:val="0"/>
                <w:sz w:val="20"/>
                <w:szCs w:val="20"/>
                <w:lang w:val="en-US" w:eastAsia="zh-CN"/>
              </w:rPr>
            </w:pPr>
            <w:r>
              <w:rPr>
                <w:rFonts w:hint="eastAsia" w:ascii="宋体" w:hAnsi="宋体" w:cs="Times New Roman"/>
                <w:color w:val="000000"/>
                <w:kern w:val="0"/>
                <w:sz w:val="20"/>
                <w:szCs w:val="20"/>
                <w:lang w:val="en-US" w:eastAsia="zh-CN"/>
              </w:rPr>
              <w:t>阳性</w:t>
            </w:r>
          </w:p>
        </w:tc>
        <w:tc>
          <w:tcPr>
            <w:tcW w:w="598" w:type="pct"/>
            <w:tcBorders>
              <w:top w:val="single" w:color="000000" w:sz="4" w:space="0"/>
              <w:left w:val="nil"/>
              <w:bottom w:val="single" w:color="000000" w:sz="4" w:space="0"/>
              <w:right w:val="single" w:color="000000" w:sz="4" w:space="0"/>
            </w:tcBorders>
            <w:shd w:val="clear" w:color="auto" w:fill="FFFFFF"/>
            <w:noWrap/>
            <w:vAlign w:val="center"/>
          </w:tcPr>
          <w:p w14:paraId="495B02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cs="Times New Roman"/>
                <w:color w:val="000000"/>
                <w:sz w:val="22"/>
                <w:szCs w:val="22"/>
              </w:rPr>
            </w:pPr>
            <w:r>
              <w:rPr>
                <w:rFonts w:hint="eastAsia" w:ascii="宋体" w:hAnsi="宋体" w:cs="Times New Roman"/>
                <w:color w:val="000000"/>
                <w:kern w:val="0"/>
                <w:sz w:val="20"/>
                <w:szCs w:val="20"/>
                <w:lang w:val="en-US" w:eastAsia="zh-CN"/>
              </w:rPr>
              <w:t>符合</w:t>
            </w:r>
          </w:p>
        </w:tc>
      </w:tr>
    </w:tbl>
    <w:p w14:paraId="13CB25AC">
      <w:pPr>
        <w:spacing w:line="520" w:lineRule="exact"/>
        <w:ind w:firstLine="640" w:firstLineChars="200"/>
        <w:rPr>
          <w:rFonts w:ascii="仿宋_GB2312" w:eastAsia="仿宋_GB2312"/>
          <w:b/>
          <w:bCs/>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结论：样本符合率均达到100%，符合要求。</w:t>
      </w:r>
    </w:p>
    <w:p w14:paraId="4523892E">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3.参考范围</w:t>
      </w:r>
    </w:p>
    <w:p w14:paraId="04CECD59">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收集20例健康人血清标本及时检测</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用亚辉龙发光检测，记录结果。要求</w:t>
      </w:r>
      <w:r>
        <w:rPr>
          <w:rFonts w:hint="eastAsia" w:ascii="仿宋_GB2312" w:eastAsia="仿宋_GB2312"/>
          <w:color w:val="000000" w:themeColor="text1"/>
          <w:sz w:val="32"/>
          <w:szCs w:val="32"/>
          <w:lang w:val="en-US" w:eastAsia="zh-CN"/>
          <w14:textFill>
            <w14:solidFill>
              <w14:schemeClr w14:val="tx1"/>
            </w14:solidFill>
          </w14:textFill>
        </w:rPr>
        <w:t>样本</w:t>
      </w:r>
      <w:r>
        <w:rPr>
          <w:rFonts w:hint="eastAsia" w:ascii="仿宋_GB2312" w:eastAsia="仿宋_GB2312"/>
          <w:color w:val="000000" w:themeColor="text1"/>
          <w:sz w:val="32"/>
          <w:szCs w:val="32"/>
          <w14:textFill>
            <w14:solidFill>
              <w14:schemeClr w14:val="tx1"/>
            </w14:solidFill>
          </w14:textFill>
        </w:rPr>
        <w:t>年龄，性别等均匀分布，对参考范围进行验证，只允许5%的数据超过所验证的参考范围。验证依据</w:t>
      </w:r>
      <w:r>
        <w:rPr>
          <w:rFonts w:hint="eastAsia" w:ascii="仿宋_GB2312" w:eastAsia="仿宋_GB2312"/>
          <w:color w:val="000000" w:themeColor="text1"/>
          <w:sz w:val="32"/>
          <w:szCs w:val="32"/>
          <w:lang w:val="en-US" w:eastAsia="zh-CN"/>
          <w14:textFill>
            <w14:solidFill>
              <w14:schemeClr w14:val="tx1"/>
            </w14:solidFill>
          </w14:textFill>
        </w:rPr>
        <w:t>为</w:t>
      </w:r>
      <w:r>
        <w:rPr>
          <w:rFonts w:hint="eastAsia" w:ascii="仿宋_GB2312" w:eastAsia="仿宋_GB2312"/>
          <w:color w:val="000000" w:themeColor="text1"/>
          <w:sz w:val="32"/>
          <w:szCs w:val="32"/>
          <w14:textFill>
            <w14:solidFill>
              <w14:schemeClr w14:val="tx1"/>
            </w14:solidFill>
          </w14:textFill>
        </w:rPr>
        <w:t>《CNAS-GL037：2019 临床化学定量检验程序性能验证指南》</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参考范围</w:t>
      </w:r>
      <w:r>
        <w:rPr>
          <w:rFonts w:hint="eastAsia" w:ascii="仿宋_GB2312" w:eastAsia="仿宋_GB2312"/>
          <w:color w:val="000000" w:themeColor="text1"/>
          <w:sz w:val="32"/>
          <w:szCs w:val="32"/>
          <w14:textFill>
            <w14:solidFill>
              <w14:schemeClr w14:val="tx1"/>
            </w14:solidFill>
          </w14:textFill>
        </w:rPr>
        <w:t>验证数据见表</w:t>
      </w:r>
      <w:r>
        <w:rPr>
          <w:rFonts w:hint="eastAsia" w:ascii="仿宋_GB2312" w:eastAsia="仿宋_GB2312"/>
          <w:color w:val="000000" w:themeColor="text1"/>
          <w:sz w:val="32"/>
          <w:szCs w:val="32"/>
          <w:lang w:val="en-US" w:eastAsia="zh-CN"/>
          <w14:textFill>
            <w14:solidFill>
              <w14:schemeClr w14:val="tx1"/>
            </w14:solidFill>
          </w14:textFill>
        </w:rPr>
        <w:t>8。</w:t>
      </w:r>
    </w:p>
    <w:p w14:paraId="15757880">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14:textFill>
            <w14:solidFill>
              <w14:schemeClr w14:val="tx1"/>
            </w14:solidFill>
          </w14:textFill>
        </w:rPr>
        <w:t>表</w:t>
      </w:r>
      <w:r>
        <w:rPr>
          <w:rFonts w:hint="eastAsia" w:ascii="仿宋_GB2312" w:eastAsia="仿宋_GB2312"/>
          <w:color w:val="000000" w:themeColor="text1"/>
          <w:sz w:val="22"/>
          <w:szCs w:val="22"/>
          <w:lang w:val="en-US" w:eastAsia="zh-CN"/>
          <w14:textFill>
            <w14:solidFill>
              <w14:schemeClr w14:val="tx1"/>
            </w14:solidFill>
          </w14:textFill>
        </w:rPr>
        <w:t>8  参考范围</w:t>
      </w:r>
      <w:r>
        <w:rPr>
          <w:rFonts w:hint="eastAsia" w:ascii="仿宋_GB2312" w:eastAsia="仿宋_GB2312"/>
          <w:color w:val="000000" w:themeColor="text1"/>
          <w:sz w:val="22"/>
          <w:szCs w:val="22"/>
          <w14:textFill>
            <w14:solidFill>
              <w14:schemeClr w14:val="tx1"/>
            </w14:solidFill>
          </w14:textFill>
        </w:rPr>
        <w:t>验证数据</w:t>
      </w:r>
    </w:p>
    <w:tbl>
      <w:tblPr>
        <w:tblStyle w:val="17"/>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70"/>
        <w:gridCol w:w="3833"/>
        <w:gridCol w:w="2569"/>
      </w:tblGrid>
      <w:tr w14:paraId="3A866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4D3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2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7BA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结果（AU/ML）</w:t>
            </w:r>
          </w:p>
        </w:tc>
        <w:tc>
          <w:tcPr>
            <w:tcW w:w="1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C2D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符合状态</w:t>
            </w:r>
          </w:p>
        </w:tc>
      </w:tr>
      <w:tr w14:paraId="0B8E1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0457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181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0.11</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134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2C1E8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7E6D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AC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0.33</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C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01421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B0FA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E0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054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5B001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A7D6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CBD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3E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不符合</w:t>
            </w:r>
          </w:p>
        </w:tc>
      </w:tr>
      <w:tr w14:paraId="0D33F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A6BB3">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74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7F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63805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C86B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60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0.14</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5B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6117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BF6F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B0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0.23</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BF2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338D2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7415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2A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0.21</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1D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6594CA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91C8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5E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0.33</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8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086BF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0B7C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8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0.86</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E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6EC87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315A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3E2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0.09</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33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701B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DEFC4">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F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AD3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3CC9B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D2F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A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0.47</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42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6FD58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95C09">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75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0.16</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1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74F4F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D2DB7">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41E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0.18</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EA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26941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BEA3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E5A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AF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14337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571E2">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24A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22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76483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45C26">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D4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0.3</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F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7DFF6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3359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8D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0.85</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2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073A2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FF4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w:t>
            </w:r>
          </w:p>
        </w:tc>
        <w:tc>
          <w:tcPr>
            <w:tcW w:w="38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984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0.07</w:t>
            </w:r>
          </w:p>
        </w:tc>
        <w:tc>
          <w:tcPr>
            <w:tcW w:w="25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2AA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符合</w:t>
            </w:r>
          </w:p>
        </w:tc>
      </w:tr>
      <w:tr w14:paraId="740B8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FB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参考区间</w:t>
            </w:r>
          </w:p>
        </w:tc>
        <w:tc>
          <w:tcPr>
            <w:tcW w:w="64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0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0-1</w:t>
            </w:r>
          </w:p>
        </w:tc>
      </w:tr>
      <w:tr w14:paraId="7AF1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2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超限样本</w:t>
            </w:r>
          </w:p>
        </w:tc>
        <w:tc>
          <w:tcPr>
            <w:tcW w:w="64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F4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r>
      <w:tr w14:paraId="427F2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5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1A9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符合率</w:t>
            </w:r>
          </w:p>
        </w:tc>
        <w:tc>
          <w:tcPr>
            <w:tcW w:w="640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C32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r>
    </w:tbl>
    <w:p w14:paraId="4B4132B5">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结论</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亚辉龙肺炎衣原体IgM测定试剂盒（化学发光法）声明的参考区间符合要求。</w:t>
      </w:r>
    </w:p>
    <w:p w14:paraId="23322B43">
      <w:pPr>
        <w:tabs>
          <w:tab w:val="center" w:pos="4201"/>
          <w:tab w:val="right" w:leader="dot" w:pos="9298"/>
        </w:tabs>
        <w:autoSpaceDE w:val="0"/>
        <w:autoSpaceDN w:val="0"/>
        <w:spacing w:line="560" w:lineRule="exact"/>
        <w:ind w:firstLine="643" w:firstLineChars="200"/>
        <w:outlineLvl w:val="1"/>
        <w:rPr>
          <w:rFonts w:hint="default" w:ascii="Times New Roman" w:hAnsi="Times New Roman" w:eastAsia="楷体" w:cs="Times New Roman"/>
          <w:b/>
          <w:bCs/>
          <w:color w:val="000000" w:themeColor="text1"/>
          <w:kern w:val="0"/>
          <w:sz w:val="32"/>
          <w:szCs w:val="32"/>
          <w:lang w:val="en-US" w:eastAsia="zh-CN"/>
          <w14:textFill>
            <w14:solidFill>
              <w14:schemeClr w14:val="tx1"/>
            </w14:solidFill>
          </w14:textFill>
        </w:rPr>
      </w:pPr>
      <w:r>
        <w:rPr>
          <w:rFonts w:hint="eastAsia" w:ascii="Times New Roman" w:hAnsi="Times New Roman" w:eastAsia="楷体" w:cs="Times New Roman"/>
          <w:b/>
          <w:bCs/>
          <w:color w:val="000000" w:themeColor="text1"/>
          <w:kern w:val="0"/>
          <w:sz w:val="32"/>
          <w:szCs w:val="32"/>
          <w:lang w:eastAsia="zh-CN"/>
          <w14:textFill>
            <w14:solidFill>
              <w14:schemeClr w14:val="tx1"/>
            </w14:solidFill>
          </w14:textFill>
        </w:rPr>
        <w:t>（</w:t>
      </w:r>
      <w:r>
        <w:rPr>
          <w:rFonts w:hint="eastAsia" w:ascii="Times New Roman" w:hAnsi="Times New Roman" w:eastAsia="楷体" w:cs="Times New Roman"/>
          <w:b/>
          <w:bCs/>
          <w:color w:val="000000" w:themeColor="text1"/>
          <w:kern w:val="0"/>
          <w:sz w:val="32"/>
          <w:szCs w:val="32"/>
          <w:highlight w:val="none"/>
          <w:lang w:val="en-US" w:eastAsia="zh-CN"/>
          <w14:textFill>
            <w14:solidFill>
              <w14:schemeClr w14:val="tx1"/>
            </w14:solidFill>
          </w14:textFill>
        </w:rPr>
        <w:t>九</w:t>
      </w:r>
      <w:r>
        <w:rPr>
          <w:rFonts w:hint="eastAsia" w:ascii="Times New Roman" w:hAnsi="Times New Roman" w:eastAsia="楷体" w:cs="Times New Roman"/>
          <w:b/>
          <w:bCs/>
          <w:color w:val="000000" w:themeColor="text1"/>
          <w:kern w:val="0"/>
          <w:sz w:val="32"/>
          <w:szCs w:val="32"/>
          <w:lang w:eastAsia="zh-CN"/>
          <w14:textFill>
            <w14:solidFill>
              <w14:schemeClr w14:val="tx1"/>
            </w14:solidFill>
          </w14:textFill>
        </w:rPr>
        <w:t>）</w:t>
      </w:r>
      <w:r>
        <w:rPr>
          <w:rFonts w:hint="eastAsia" w:ascii="Times New Roman" w:hAnsi="Times New Roman" w:eastAsia="楷体" w:cs="Times New Roman"/>
          <w:b/>
          <w:bCs/>
          <w:color w:val="000000" w:themeColor="text1"/>
          <w:kern w:val="0"/>
          <w:sz w:val="32"/>
          <w:szCs w:val="32"/>
          <w14:textFill>
            <w14:solidFill>
              <w14:schemeClr w14:val="tx1"/>
            </w14:solidFill>
          </w14:textFill>
        </w:rPr>
        <w:t>肺炎支原体Ig</w:t>
      </w:r>
      <w:r>
        <w:rPr>
          <w:rFonts w:hint="eastAsia" w:ascii="Times New Roman" w:hAnsi="Times New Roman" w:eastAsia="楷体" w:cs="Times New Roman"/>
          <w:b/>
          <w:bCs/>
          <w:color w:val="000000" w:themeColor="text1"/>
          <w:kern w:val="0"/>
          <w:sz w:val="32"/>
          <w:szCs w:val="32"/>
          <w:lang w:val="en-US" w:eastAsia="zh-CN"/>
          <w14:textFill>
            <w14:solidFill>
              <w14:schemeClr w14:val="tx1"/>
            </w14:solidFill>
          </w14:textFill>
        </w:rPr>
        <w:t>M验证总结</w:t>
      </w:r>
    </w:p>
    <w:p w14:paraId="001E8041">
      <w:pPr>
        <w:spacing w:line="520" w:lineRule="exact"/>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综合上述</w:t>
      </w:r>
      <w:r>
        <w:rPr>
          <w:rFonts w:hint="eastAsia" w:ascii="仿宋_GB2312" w:eastAsia="仿宋_GB2312"/>
          <w:color w:val="000000" w:themeColor="text1"/>
          <w:sz w:val="32"/>
          <w:szCs w:val="32"/>
          <w14:textFill>
            <w14:solidFill>
              <w14:schemeClr w14:val="tx1"/>
            </w14:solidFill>
          </w14:textFill>
        </w:rPr>
        <w:t>精密度</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符合率、参考范围，得到验证汇总结果见表9。</w:t>
      </w:r>
    </w:p>
    <w:p w14:paraId="6CE95309">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仿宋_GB2312" w:eastAsia="仿宋_GB2312"/>
          <w:color w:val="000000" w:themeColor="text1"/>
          <w:sz w:val="22"/>
          <w:szCs w:val="22"/>
          <w14:textFill>
            <w14:solidFill>
              <w14:schemeClr w14:val="tx1"/>
            </w14:solidFill>
          </w14:textFill>
        </w:rPr>
      </w:pPr>
      <w:r>
        <w:rPr>
          <w:rFonts w:hint="eastAsia" w:ascii="仿宋_GB2312" w:eastAsia="仿宋_GB2312"/>
          <w:color w:val="000000" w:themeColor="text1"/>
          <w:sz w:val="22"/>
          <w:szCs w:val="22"/>
          <w:lang w:val="en-US" w:eastAsia="zh-CN"/>
          <w14:textFill>
            <w14:solidFill>
              <w14:schemeClr w14:val="tx1"/>
            </w14:solidFill>
          </w14:textFill>
        </w:rPr>
        <w:t>表9  验证汇总结果</w:t>
      </w:r>
    </w:p>
    <w:tbl>
      <w:tblPr>
        <w:tblStyle w:val="17"/>
        <w:tblpPr w:leftFromText="180" w:rightFromText="180" w:vertAnchor="text" w:horzAnchor="margin" w:tblpXSpec="center" w:tblpY="209"/>
        <w:tblW w:w="4996" w:type="pct"/>
        <w:tblInd w:w="0" w:type="dxa"/>
        <w:tblLayout w:type="autofit"/>
        <w:tblCellMar>
          <w:top w:w="0" w:type="dxa"/>
          <w:left w:w="108" w:type="dxa"/>
          <w:bottom w:w="0" w:type="dxa"/>
          <w:right w:w="108" w:type="dxa"/>
        </w:tblCellMar>
      </w:tblPr>
      <w:tblGrid>
        <w:gridCol w:w="1315"/>
        <w:gridCol w:w="2143"/>
        <w:gridCol w:w="3867"/>
        <w:gridCol w:w="1842"/>
      </w:tblGrid>
      <w:tr w14:paraId="13B081EC">
        <w:tblPrEx>
          <w:tblCellMar>
            <w:top w:w="0" w:type="dxa"/>
            <w:left w:w="108" w:type="dxa"/>
            <w:bottom w:w="0" w:type="dxa"/>
            <w:right w:w="108" w:type="dxa"/>
          </w:tblCellMar>
        </w:tblPrEx>
        <w:trPr>
          <w:trHeight w:val="799" w:hRule="atLeast"/>
        </w:trPr>
        <w:tc>
          <w:tcPr>
            <w:tcW w:w="717" w:type="pct"/>
            <w:tcBorders>
              <w:top w:val="single" w:color="auto" w:sz="4" w:space="0"/>
              <w:left w:val="single" w:color="auto" w:sz="4" w:space="0"/>
              <w:bottom w:val="single" w:color="auto" w:sz="4" w:space="0"/>
              <w:right w:val="single" w:color="auto" w:sz="4" w:space="0"/>
            </w:tcBorders>
            <w:vAlign w:val="center"/>
          </w:tcPr>
          <w:p w14:paraId="53F836C3">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验证指标</w:t>
            </w:r>
          </w:p>
        </w:tc>
        <w:tc>
          <w:tcPr>
            <w:tcW w:w="1168" w:type="pct"/>
            <w:tcBorders>
              <w:top w:val="single" w:color="auto" w:sz="4" w:space="0"/>
              <w:left w:val="nil"/>
              <w:bottom w:val="single" w:color="auto" w:sz="4" w:space="0"/>
              <w:right w:val="single" w:color="auto" w:sz="4" w:space="0"/>
            </w:tcBorders>
            <w:vAlign w:val="center"/>
          </w:tcPr>
          <w:p w14:paraId="0413ED3A">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标准</w:t>
            </w:r>
          </w:p>
        </w:tc>
        <w:tc>
          <w:tcPr>
            <w:tcW w:w="2108" w:type="pct"/>
            <w:tcBorders>
              <w:top w:val="single" w:color="auto" w:sz="4" w:space="0"/>
              <w:left w:val="nil"/>
              <w:bottom w:val="single" w:color="auto" w:sz="4" w:space="0"/>
              <w:right w:val="single" w:color="auto" w:sz="4" w:space="0"/>
            </w:tcBorders>
            <w:vAlign w:val="center"/>
          </w:tcPr>
          <w:p w14:paraId="78266D7A">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验证结果</w:t>
            </w:r>
          </w:p>
        </w:tc>
        <w:tc>
          <w:tcPr>
            <w:tcW w:w="1004" w:type="pct"/>
            <w:tcBorders>
              <w:top w:val="single" w:color="auto" w:sz="4" w:space="0"/>
              <w:left w:val="nil"/>
              <w:bottom w:val="single" w:color="auto" w:sz="4" w:space="0"/>
              <w:right w:val="single" w:color="auto" w:sz="4" w:space="0"/>
            </w:tcBorders>
            <w:vAlign w:val="center"/>
          </w:tcPr>
          <w:p w14:paraId="17A26468">
            <w:pPr>
              <w:widowControl/>
              <w:jc w:val="center"/>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结论</w:t>
            </w:r>
          </w:p>
        </w:tc>
      </w:tr>
      <w:tr w14:paraId="1738B4DE">
        <w:tblPrEx>
          <w:tblCellMar>
            <w:top w:w="0" w:type="dxa"/>
            <w:left w:w="108" w:type="dxa"/>
            <w:bottom w:w="0" w:type="dxa"/>
            <w:right w:w="108" w:type="dxa"/>
          </w:tblCellMar>
        </w:tblPrEx>
        <w:trPr>
          <w:trHeight w:val="799" w:hRule="atLeast"/>
        </w:trPr>
        <w:tc>
          <w:tcPr>
            <w:tcW w:w="717" w:type="pct"/>
            <w:tcBorders>
              <w:top w:val="single" w:color="auto" w:sz="4" w:space="0"/>
              <w:left w:val="single" w:color="auto" w:sz="4" w:space="0"/>
              <w:bottom w:val="single" w:color="auto" w:sz="4" w:space="0"/>
              <w:right w:val="single" w:color="auto" w:sz="4" w:space="0"/>
            </w:tcBorders>
            <w:vAlign w:val="center"/>
          </w:tcPr>
          <w:p w14:paraId="711A50FD">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精密度</w:t>
            </w:r>
          </w:p>
        </w:tc>
        <w:tc>
          <w:tcPr>
            <w:tcW w:w="1168" w:type="pct"/>
            <w:tcBorders>
              <w:top w:val="single" w:color="auto" w:sz="4" w:space="0"/>
              <w:left w:val="nil"/>
              <w:bottom w:val="single" w:color="auto" w:sz="4" w:space="0"/>
              <w:right w:val="single" w:color="auto" w:sz="4" w:space="0"/>
            </w:tcBorders>
            <w:vAlign w:val="center"/>
          </w:tcPr>
          <w:p w14:paraId="244CF89B">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CV% ≤15%</w:t>
            </w:r>
          </w:p>
        </w:tc>
        <w:tc>
          <w:tcPr>
            <w:tcW w:w="2108" w:type="pct"/>
            <w:tcBorders>
              <w:top w:val="single" w:color="auto" w:sz="4" w:space="0"/>
              <w:left w:val="nil"/>
              <w:bottom w:val="single" w:color="auto" w:sz="4" w:space="0"/>
              <w:right w:val="single" w:color="auto" w:sz="4" w:space="0"/>
            </w:tcBorders>
            <w:vAlign w:val="center"/>
          </w:tcPr>
          <w:p w14:paraId="545AEED7">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水平1样品（CV%）为</w:t>
            </w:r>
            <w:r>
              <w:rPr>
                <w:rFonts w:hint="eastAsia" w:ascii="宋体" w:hAnsi="宋体" w:cs="宋体"/>
                <w:bCs/>
                <w:kern w:val="0"/>
                <w:sz w:val="24"/>
                <w:szCs w:val="24"/>
                <w:u w:val="none"/>
                <w:lang w:val="en-US" w:eastAsia="zh-CN"/>
              </w:rPr>
              <w:t>1.838</w:t>
            </w:r>
            <w:r>
              <w:rPr>
                <w:rFonts w:hint="eastAsia" w:ascii="宋体" w:hAnsi="宋体" w:eastAsia="宋体" w:cs="宋体"/>
                <w:color w:val="000000"/>
                <w:kern w:val="0"/>
                <w:sz w:val="24"/>
                <w:szCs w:val="24"/>
              </w:rPr>
              <w:t>%</w:t>
            </w:r>
          </w:p>
          <w:p w14:paraId="7207977A">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水平2样品（CV%）为</w:t>
            </w:r>
            <w:r>
              <w:rPr>
                <w:rFonts w:hint="eastAsia" w:ascii="宋体" w:hAnsi="宋体" w:cs="宋体"/>
                <w:color w:val="000000"/>
                <w:kern w:val="0"/>
                <w:sz w:val="24"/>
                <w:szCs w:val="24"/>
                <w:lang w:val="en-US" w:eastAsia="zh-CN"/>
              </w:rPr>
              <w:t>0.54</w:t>
            </w:r>
            <w:r>
              <w:rPr>
                <w:rFonts w:hint="eastAsia" w:ascii="宋体" w:hAnsi="宋体" w:eastAsia="宋体" w:cs="宋体"/>
                <w:color w:val="000000"/>
                <w:kern w:val="0"/>
                <w:sz w:val="24"/>
                <w:szCs w:val="24"/>
              </w:rPr>
              <w:t>%</w:t>
            </w:r>
          </w:p>
          <w:p w14:paraId="68D9FEB6">
            <w:pPr>
              <w:widowControl/>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水平</w:t>
            </w:r>
            <w:r>
              <w:rPr>
                <w:rFonts w:hint="eastAsia" w:ascii="宋体" w:hAnsi="宋体" w:cs="宋体"/>
                <w:color w:val="000000"/>
                <w:kern w:val="0"/>
                <w:sz w:val="24"/>
                <w:szCs w:val="24"/>
                <w:lang w:val="en-US" w:eastAsia="zh-CN"/>
              </w:rPr>
              <w:t>3</w:t>
            </w:r>
            <w:r>
              <w:rPr>
                <w:rFonts w:hint="eastAsia" w:ascii="宋体" w:hAnsi="宋体" w:eastAsia="宋体" w:cs="宋体"/>
                <w:color w:val="000000"/>
                <w:kern w:val="0"/>
                <w:sz w:val="24"/>
                <w:szCs w:val="24"/>
              </w:rPr>
              <w:t>样品（CV%）为</w:t>
            </w:r>
            <w:r>
              <w:rPr>
                <w:rFonts w:hint="eastAsia" w:ascii="宋体" w:hAnsi="宋体" w:cs="宋体"/>
                <w:color w:val="000000"/>
                <w:kern w:val="0"/>
                <w:sz w:val="24"/>
                <w:szCs w:val="24"/>
                <w:lang w:val="en-US" w:eastAsia="zh-CN"/>
              </w:rPr>
              <w:t>3.992</w:t>
            </w:r>
            <w:r>
              <w:rPr>
                <w:rFonts w:hint="eastAsia" w:ascii="宋体" w:hAnsi="宋体" w:eastAsia="宋体" w:cs="宋体"/>
                <w:color w:val="000000"/>
                <w:kern w:val="0"/>
                <w:sz w:val="24"/>
                <w:szCs w:val="24"/>
              </w:rPr>
              <w:t>%</w:t>
            </w:r>
          </w:p>
          <w:p w14:paraId="5A6C009D">
            <w:pPr>
              <w:widowControl/>
              <w:jc w:val="center"/>
              <w:rPr>
                <w:rFonts w:hint="eastAsia" w:ascii="宋体" w:hAnsi="宋体" w:eastAsia="宋体" w:cs="宋体"/>
                <w:bCs/>
                <w:kern w:val="0"/>
                <w:sz w:val="24"/>
                <w:szCs w:val="24"/>
                <w:u w:val="single"/>
              </w:rPr>
            </w:pPr>
            <w:r>
              <w:rPr>
                <w:rFonts w:hint="eastAsia" w:ascii="宋体" w:hAnsi="宋体" w:eastAsia="宋体" w:cs="宋体"/>
                <w:color w:val="000000"/>
                <w:kern w:val="0"/>
                <w:sz w:val="24"/>
                <w:szCs w:val="24"/>
              </w:rPr>
              <w:t>水平</w:t>
            </w:r>
            <w:r>
              <w:rPr>
                <w:rFonts w:hint="eastAsia" w:ascii="宋体" w:hAnsi="宋体" w:cs="宋体"/>
                <w:color w:val="000000"/>
                <w:kern w:val="0"/>
                <w:sz w:val="24"/>
                <w:szCs w:val="24"/>
                <w:lang w:val="en-US" w:eastAsia="zh-CN"/>
              </w:rPr>
              <w:t>4</w:t>
            </w:r>
            <w:r>
              <w:rPr>
                <w:rFonts w:hint="eastAsia" w:ascii="宋体" w:hAnsi="宋体" w:eastAsia="宋体" w:cs="宋体"/>
                <w:color w:val="000000"/>
                <w:kern w:val="0"/>
                <w:sz w:val="24"/>
                <w:szCs w:val="24"/>
              </w:rPr>
              <w:t>样品（CV%）为</w:t>
            </w:r>
            <w:r>
              <w:rPr>
                <w:rFonts w:hint="eastAsia" w:ascii="宋体" w:hAnsi="宋体" w:cs="宋体"/>
                <w:color w:val="000000"/>
                <w:kern w:val="0"/>
                <w:sz w:val="24"/>
                <w:szCs w:val="24"/>
                <w:lang w:val="en-US" w:eastAsia="zh-CN"/>
              </w:rPr>
              <w:t>2.057</w:t>
            </w:r>
            <w:r>
              <w:rPr>
                <w:rFonts w:hint="eastAsia" w:ascii="宋体" w:hAnsi="宋体" w:eastAsia="宋体" w:cs="宋体"/>
                <w:color w:val="000000"/>
                <w:kern w:val="0"/>
                <w:sz w:val="24"/>
                <w:szCs w:val="24"/>
              </w:rPr>
              <w:t>%</w:t>
            </w:r>
          </w:p>
        </w:tc>
        <w:tc>
          <w:tcPr>
            <w:tcW w:w="1004" w:type="pct"/>
            <w:tcBorders>
              <w:top w:val="single" w:color="auto" w:sz="4" w:space="0"/>
              <w:left w:val="nil"/>
              <w:bottom w:val="single" w:color="auto" w:sz="4" w:space="0"/>
              <w:right w:val="single" w:color="auto" w:sz="4" w:space="0"/>
            </w:tcBorders>
            <w:vAlign w:val="center"/>
          </w:tcPr>
          <w:p w14:paraId="1962F40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r w14:paraId="3CAC39D2">
        <w:tblPrEx>
          <w:tblCellMar>
            <w:top w:w="0" w:type="dxa"/>
            <w:left w:w="108" w:type="dxa"/>
            <w:bottom w:w="0" w:type="dxa"/>
            <w:right w:w="108" w:type="dxa"/>
          </w:tblCellMar>
        </w:tblPrEx>
        <w:trPr>
          <w:trHeight w:val="575" w:hRule="atLeast"/>
        </w:trPr>
        <w:tc>
          <w:tcPr>
            <w:tcW w:w="717" w:type="pct"/>
            <w:tcBorders>
              <w:top w:val="single" w:color="auto" w:sz="4" w:space="0"/>
              <w:left w:val="single" w:color="auto" w:sz="4" w:space="0"/>
              <w:bottom w:val="single" w:color="auto" w:sz="4" w:space="0"/>
              <w:right w:val="single" w:color="auto" w:sz="4" w:space="0"/>
            </w:tcBorders>
            <w:vAlign w:val="center"/>
          </w:tcPr>
          <w:p w14:paraId="4029DB81">
            <w:pPr>
              <w:widowControl/>
              <w:jc w:val="center"/>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lang w:val="en-US" w:eastAsia="zh-CN"/>
              </w:rPr>
              <w:t>符合率</w:t>
            </w:r>
          </w:p>
        </w:tc>
        <w:tc>
          <w:tcPr>
            <w:tcW w:w="1168" w:type="pct"/>
            <w:tcBorders>
              <w:top w:val="single" w:color="auto" w:sz="4" w:space="0"/>
              <w:left w:val="nil"/>
              <w:bottom w:val="single" w:color="auto" w:sz="4" w:space="0"/>
              <w:right w:val="single" w:color="auto" w:sz="4" w:space="0"/>
            </w:tcBorders>
            <w:vAlign w:val="center"/>
          </w:tcPr>
          <w:p w14:paraId="19CF01B9">
            <w:pPr>
              <w:widowControl/>
              <w:jc w:val="center"/>
              <w:rPr>
                <w:rFonts w:hint="eastAsia" w:ascii="宋体" w:hAnsi="宋体" w:eastAsia="宋体" w:cs="宋体"/>
                <w:color w:val="000000"/>
                <w:kern w:val="0"/>
                <w:sz w:val="24"/>
                <w:szCs w:val="24"/>
              </w:rPr>
            </w:pPr>
            <w:r>
              <w:rPr>
                <w:rFonts w:hint="eastAsia" w:ascii="宋体" w:hAnsi="宋体" w:eastAsia="宋体" w:cs="宋体"/>
                <w:sz w:val="24"/>
                <w:szCs w:val="24"/>
              </w:rPr>
              <w:t>总符合性≧80%</w:t>
            </w:r>
          </w:p>
        </w:tc>
        <w:tc>
          <w:tcPr>
            <w:tcW w:w="2108" w:type="pct"/>
            <w:tcBorders>
              <w:top w:val="single" w:color="auto" w:sz="4" w:space="0"/>
              <w:left w:val="nil"/>
              <w:bottom w:val="single" w:color="auto" w:sz="4" w:space="0"/>
              <w:right w:val="single" w:color="auto" w:sz="4" w:space="0"/>
            </w:tcBorders>
            <w:vAlign w:val="center"/>
          </w:tcPr>
          <w:p w14:paraId="4B6785D4">
            <w:pPr>
              <w:widowControl/>
              <w:jc w:val="center"/>
              <w:rPr>
                <w:rFonts w:hint="eastAsia" w:ascii="宋体" w:hAnsi="宋体" w:eastAsia="宋体" w:cs="宋体"/>
                <w:color w:val="000000"/>
                <w:kern w:val="0"/>
                <w:sz w:val="24"/>
                <w:szCs w:val="24"/>
              </w:rPr>
            </w:pPr>
            <w:r>
              <w:rPr>
                <w:rFonts w:hint="eastAsia" w:ascii="宋体" w:hAnsi="宋体" w:eastAsia="宋体" w:cs="宋体"/>
                <w:sz w:val="24"/>
                <w:szCs w:val="24"/>
              </w:rPr>
              <w:t>总符合性=100%</w:t>
            </w:r>
          </w:p>
        </w:tc>
        <w:tc>
          <w:tcPr>
            <w:tcW w:w="1004" w:type="pct"/>
            <w:tcBorders>
              <w:top w:val="single" w:color="auto" w:sz="4" w:space="0"/>
              <w:left w:val="nil"/>
              <w:bottom w:val="single" w:color="auto" w:sz="4" w:space="0"/>
              <w:right w:val="single" w:color="auto" w:sz="4" w:space="0"/>
            </w:tcBorders>
            <w:vAlign w:val="center"/>
          </w:tcPr>
          <w:p w14:paraId="00A4DBE4">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r w14:paraId="5CBE8FA9">
        <w:tblPrEx>
          <w:tblCellMar>
            <w:top w:w="0" w:type="dxa"/>
            <w:left w:w="108" w:type="dxa"/>
            <w:bottom w:w="0" w:type="dxa"/>
            <w:right w:w="108" w:type="dxa"/>
          </w:tblCellMar>
        </w:tblPrEx>
        <w:trPr>
          <w:trHeight w:val="624" w:hRule="atLeast"/>
        </w:trPr>
        <w:tc>
          <w:tcPr>
            <w:tcW w:w="717" w:type="pct"/>
            <w:tcBorders>
              <w:top w:val="single" w:color="auto" w:sz="4" w:space="0"/>
              <w:left w:val="single" w:color="auto" w:sz="4" w:space="0"/>
              <w:bottom w:val="single" w:color="auto" w:sz="4" w:space="0"/>
              <w:right w:val="single" w:color="auto" w:sz="4" w:space="0"/>
            </w:tcBorders>
            <w:vAlign w:val="center"/>
          </w:tcPr>
          <w:p w14:paraId="1D8CAD42">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参考范围</w:t>
            </w:r>
          </w:p>
        </w:tc>
        <w:tc>
          <w:tcPr>
            <w:tcW w:w="1168" w:type="pct"/>
            <w:tcBorders>
              <w:top w:val="single" w:color="auto" w:sz="4" w:space="0"/>
              <w:left w:val="single" w:color="auto" w:sz="4" w:space="0"/>
              <w:bottom w:val="single" w:color="auto" w:sz="4" w:space="0"/>
              <w:right w:val="single" w:color="auto" w:sz="4" w:space="0"/>
            </w:tcBorders>
            <w:vAlign w:val="center"/>
          </w:tcPr>
          <w:p w14:paraId="5695B62D">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总符合性≧80%</w:t>
            </w:r>
          </w:p>
        </w:tc>
        <w:tc>
          <w:tcPr>
            <w:tcW w:w="2108" w:type="pct"/>
            <w:tcBorders>
              <w:top w:val="single" w:color="auto" w:sz="4" w:space="0"/>
              <w:left w:val="single" w:color="auto" w:sz="4" w:space="0"/>
              <w:bottom w:val="single" w:color="auto" w:sz="4" w:space="0"/>
              <w:right w:val="single" w:color="auto" w:sz="4" w:space="0"/>
            </w:tcBorders>
            <w:vAlign w:val="center"/>
          </w:tcPr>
          <w:p w14:paraId="4F0DC89F">
            <w:pPr>
              <w:keepNext w:val="0"/>
              <w:keepLines w:val="0"/>
              <w:widowControl/>
              <w:suppressLineNumbers w:val="0"/>
              <w:jc w:val="center"/>
              <w:textAlignment w:val="center"/>
              <w:rPr>
                <w:rFonts w:hint="default" w:ascii="宋体" w:hAnsi="宋体" w:eastAsia="宋体" w:cs="宋体"/>
                <w:color w:val="000000"/>
                <w:kern w:val="0"/>
                <w:sz w:val="24"/>
                <w:szCs w:val="24"/>
                <w:lang w:val="en-US" w:eastAsia="zh-CN"/>
              </w:rPr>
            </w:pPr>
            <w:r>
              <w:rPr>
                <w:rFonts w:hint="eastAsia" w:ascii="宋体" w:hAnsi="宋体" w:eastAsia="宋体" w:cs="宋体"/>
                <w:i w:val="0"/>
                <w:iCs w:val="0"/>
                <w:color w:val="000000"/>
                <w:sz w:val="22"/>
                <w:szCs w:val="22"/>
                <w:u w:val="none"/>
                <w:lang w:val="en-US" w:eastAsia="zh-CN"/>
              </w:rPr>
              <w:t>符合率</w:t>
            </w:r>
            <w:r>
              <w:rPr>
                <w:rFonts w:hint="eastAsia" w:ascii="宋体" w:hAnsi="宋体" w:cs="宋体"/>
                <w:i w:val="0"/>
                <w:iCs w:val="0"/>
                <w:color w:val="000000"/>
                <w:sz w:val="22"/>
                <w:szCs w:val="22"/>
                <w:u w:val="none"/>
                <w:lang w:val="en-US" w:eastAsia="zh-CN"/>
              </w:rPr>
              <w:t>95</w:t>
            </w:r>
            <w:bookmarkStart w:id="1" w:name="_GoBack"/>
            <w:bookmarkEnd w:id="1"/>
            <w:r>
              <w:rPr>
                <w:rFonts w:hint="eastAsia" w:ascii="宋体" w:hAnsi="宋体" w:eastAsia="宋体" w:cs="宋体"/>
                <w:i w:val="0"/>
                <w:iCs w:val="0"/>
                <w:color w:val="000000"/>
                <w:sz w:val="22"/>
                <w:szCs w:val="22"/>
                <w:u w:val="none"/>
                <w:lang w:val="en-US" w:eastAsia="zh-CN"/>
              </w:rPr>
              <w:t>%</w:t>
            </w:r>
          </w:p>
        </w:tc>
        <w:tc>
          <w:tcPr>
            <w:tcW w:w="1004" w:type="pct"/>
            <w:tcBorders>
              <w:top w:val="single" w:color="auto" w:sz="4" w:space="0"/>
              <w:left w:val="single" w:color="auto" w:sz="4" w:space="0"/>
              <w:bottom w:val="single" w:color="auto" w:sz="4" w:space="0"/>
              <w:right w:val="single" w:color="auto" w:sz="4" w:space="0"/>
            </w:tcBorders>
            <w:vAlign w:val="center"/>
          </w:tcPr>
          <w:p w14:paraId="29FBCB1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符合标准要求</w:t>
            </w:r>
          </w:p>
        </w:tc>
      </w:tr>
    </w:tbl>
    <w:p w14:paraId="57C76D66">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5419868">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73410423">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048A0B6">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1D4A3279">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27F02F4">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1DA130EC">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BDE7EE3">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3A45A1C">
      <w:pPr>
        <w:spacing w:line="520" w:lineRule="exact"/>
        <w:ind w:firstLine="640" w:firstLineChars="200"/>
        <w:rPr>
          <w:rFonts w:ascii="仿宋_GB2312" w:eastAsia="仿宋_GB2312"/>
          <w:color w:val="000000" w:themeColor="text1"/>
          <w:sz w:val="32"/>
          <w:szCs w:val="32"/>
          <w14:textFill>
            <w14:solidFill>
              <w14:schemeClr w14:val="tx1"/>
            </w14:solidFill>
          </w14:textFill>
        </w:rPr>
        <w:sectPr>
          <w:pgSz w:w="11906" w:h="16838"/>
          <w:pgMar w:top="1474" w:right="1474" w:bottom="1474" w:left="1474" w:header="851" w:footer="992" w:gutter="0"/>
          <w:cols w:space="720" w:num="1"/>
          <w:docGrid w:linePitch="312" w:charSpace="0"/>
        </w:sectPr>
      </w:pPr>
    </w:p>
    <w:p w14:paraId="31B6AA4D">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7B00BA9">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7BC3B5E">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1B3E7159">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58F21E6">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1F1441BC">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672A8038">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6485C3A7">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7AAFB94D">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4264C4CB">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EDE8979">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A4CA5C0">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597F7277">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09573685">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71D34662">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51401509">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2273E8CA">
      <w:pPr>
        <w:spacing w:line="520" w:lineRule="exact"/>
        <w:ind w:firstLine="640" w:firstLineChars="200"/>
        <w:rPr>
          <w:rFonts w:ascii="仿宋_GB2312" w:eastAsia="仿宋_GB2312"/>
          <w:color w:val="000000" w:themeColor="text1"/>
          <w:sz w:val="32"/>
          <w:szCs w:val="32"/>
          <w14:textFill>
            <w14:solidFill>
              <w14:schemeClr w14:val="tx1"/>
            </w14:solidFill>
          </w14:textFill>
        </w:rPr>
      </w:pPr>
    </w:p>
    <w:p w14:paraId="53B66426">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w:t>
      </w:r>
    </w:p>
    <w:p w14:paraId="172CECAF">
      <w:pPr>
        <w:pStyle w:val="26"/>
      </w:pPr>
    </w:p>
    <w:p w14:paraId="3180B81D">
      <w:pPr>
        <w:autoSpaceDE w:val="0"/>
        <w:autoSpaceDN w:val="0"/>
        <w:adjustRightInd w:val="0"/>
        <w:spacing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六、重大意见分歧的处理依据和结果</w:t>
      </w:r>
    </w:p>
    <w:p w14:paraId="3223EF67">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本标准研制过程中无重大分歧意见。</w:t>
      </w:r>
    </w:p>
    <w:p w14:paraId="27A4051B">
      <w:pPr>
        <w:autoSpaceDE w:val="0"/>
        <w:autoSpaceDN w:val="0"/>
        <w:adjustRightInd w:val="0"/>
        <w:spacing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七、实施标准的措施</w:t>
      </w:r>
    </w:p>
    <w:p w14:paraId="5A64A99C">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（一）标准报批发布后，成立标准宣贯工作组</w:t>
      </w:r>
    </w:p>
    <w:p w14:paraId="62CBA67A">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9BE8A3C">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（二）组织开展标准宣贯培训</w:t>
      </w:r>
    </w:p>
    <w:p w14:paraId="5DC9F98F">
      <w:pPr>
        <w:spacing w:line="52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标准发布实施后，标准宣贯工作小组制作标准解读宣贯培训PPT课件和标准核心技术明白书，并按标准宣贯培训计划深入各市县相关机构，对相关技术人员开展标准宣贯培训，对标准进行逐条解读，让相关技术人员掌握标准核心技术内容，助力标准实施落地，促进临床医学事业健康发展。</w:t>
      </w:r>
    </w:p>
    <w:p w14:paraId="2877D405">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（三）开展标准实施交流会，收集标准实施反馈信息</w:t>
      </w:r>
    </w:p>
    <w:p w14:paraId="180D7AF7">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标准起草小组深入各市县相关机构技术人员召开标准实施交流会，听取标准实施过程中存在的问题并做好记录和解答，对存在的问题组织专家团队进行研讨，为标准的复审修订做准备。</w:t>
      </w:r>
    </w:p>
    <w:p w14:paraId="58332394">
      <w:pPr>
        <w:tabs>
          <w:tab w:val="center" w:pos="4201"/>
          <w:tab w:val="right" w:leader="dot" w:pos="9298"/>
        </w:tabs>
        <w:autoSpaceDE w:val="0"/>
        <w:autoSpaceDN w:val="0"/>
        <w:spacing w:line="560" w:lineRule="exact"/>
        <w:ind w:firstLine="643" w:firstLineChars="200"/>
        <w:outlineLvl w:val="1"/>
        <w:rPr>
          <w:rFonts w:ascii="Times New Roman" w:hAnsi="Times New Roman" w:eastAsia="楷体" w:cs="Times New Roman"/>
          <w:b/>
          <w:bCs/>
          <w:color w:val="000000" w:themeColor="text1"/>
          <w:kern w:val="0"/>
          <w:sz w:val="32"/>
          <w:szCs w:val="32"/>
          <w14:textFill>
            <w14:solidFill>
              <w14:schemeClr w14:val="tx1"/>
            </w14:solidFill>
          </w14:textFill>
        </w:rPr>
      </w:pPr>
      <w:r>
        <w:rPr>
          <w:rFonts w:hint="eastAsia" w:ascii="Times New Roman" w:hAnsi="Times New Roman" w:eastAsia="楷体" w:cs="Times New Roman"/>
          <w:b/>
          <w:bCs/>
          <w:color w:val="000000" w:themeColor="text1"/>
          <w:kern w:val="0"/>
          <w:sz w:val="32"/>
          <w:szCs w:val="32"/>
          <w14:textFill>
            <w14:solidFill>
              <w14:schemeClr w14:val="tx1"/>
            </w14:solidFill>
          </w14:textFill>
        </w:rPr>
        <w:t>（四）开展标准实施效果评估</w:t>
      </w:r>
    </w:p>
    <w:p w14:paraId="3CE8DA67">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标准实施满2年，每年标准宣贯工作组采取网络调查、问卷调查、实地调研、召开座谈会或论证会、专家咨询等方式开展标准实施效果评估，并形成标准实施效果评估报告，为标准的复审修订做准备。</w:t>
      </w:r>
    </w:p>
    <w:p w14:paraId="4C0F8200">
      <w:pPr>
        <w:autoSpaceDE w:val="0"/>
        <w:autoSpaceDN w:val="0"/>
        <w:adjustRightInd w:val="0"/>
        <w:spacing w:line="560" w:lineRule="exact"/>
        <w:ind w:firstLine="640" w:firstLineChars="200"/>
        <w:outlineLvl w:val="0"/>
        <w:rPr>
          <w:rFonts w:ascii="Times New Roman" w:hAnsi="Times New Roman" w:eastAsia="黑体" w:cs="Times New Roman"/>
          <w:color w:val="000000" w:themeColor="text1"/>
          <w:sz w:val="32"/>
          <w:szCs w:val="32"/>
          <w14:textFill>
            <w14:solidFill>
              <w14:schemeClr w14:val="tx1"/>
            </w14:solidFill>
          </w14:textFill>
        </w:rPr>
      </w:pPr>
      <w:r>
        <w:rPr>
          <w:rFonts w:hint="eastAsia" w:ascii="Times New Roman" w:hAnsi="Times New Roman" w:eastAsia="黑体" w:cs="Times New Roman"/>
          <w:color w:val="000000" w:themeColor="text1"/>
          <w:sz w:val="32"/>
          <w:szCs w:val="32"/>
          <w14:textFill>
            <w14:solidFill>
              <w14:schemeClr w14:val="tx1"/>
            </w14:solidFill>
          </w14:textFill>
        </w:rPr>
        <w:t>八、其他应当说明的事项</w:t>
      </w:r>
    </w:p>
    <w:p w14:paraId="09FB1903">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w:t>
      </w:r>
    </w:p>
    <w:p w14:paraId="00FB47DC">
      <w:pPr>
        <w:pStyle w:val="27"/>
        <w:rPr>
          <w:rFonts w:ascii="仿宋_GB2312" w:eastAsia="仿宋_GB2312"/>
          <w:color w:val="000000" w:themeColor="text1"/>
          <w:sz w:val="28"/>
          <w:szCs w:val="28"/>
          <w14:textFill>
            <w14:solidFill>
              <w14:schemeClr w14:val="tx1"/>
            </w14:solidFill>
          </w14:textFill>
        </w:rPr>
      </w:pPr>
    </w:p>
    <w:p w14:paraId="43006623">
      <w:pPr>
        <w:pStyle w:val="27"/>
        <w:rPr>
          <w:rFonts w:ascii="仿宋_GB2312" w:eastAsia="仿宋_GB2312"/>
          <w:color w:val="000000" w:themeColor="text1"/>
          <w:sz w:val="28"/>
          <w:szCs w:val="28"/>
          <w14:textFill>
            <w14:solidFill>
              <w14:schemeClr w14:val="tx1"/>
            </w14:solidFill>
          </w14:textFill>
        </w:rPr>
      </w:pPr>
    </w:p>
    <w:p w14:paraId="015B34CC">
      <w:pPr>
        <w:spacing w:line="520" w:lineRule="exact"/>
        <w:ind w:firstLine="640" w:firstLineChars="200"/>
        <w:jc w:val="righ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团体标准《肺炎支原体抗体检测  吖啶酯化学发光法》</w:t>
      </w:r>
    </w:p>
    <w:p w14:paraId="23051A27">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标准编制工作组</w:t>
      </w:r>
    </w:p>
    <w:p w14:paraId="15C90BCF">
      <w:pPr>
        <w:spacing w:line="52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202</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年</w:t>
      </w:r>
      <w:r>
        <w:rPr>
          <w:rFonts w:ascii="仿宋_GB2312" w:eastAsia="仿宋_GB2312"/>
          <w:color w:val="000000" w:themeColor="text1"/>
          <w:sz w:val="32"/>
          <w:szCs w:val="32"/>
          <w14:textFill>
            <w14:solidFill>
              <w14:schemeClr w14:val="tx1"/>
            </w14:solidFill>
          </w14:textFill>
        </w:rPr>
        <w:t>12</w:t>
      </w:r>
      <w:r>
        <w:rPr>
          <w:rFonts w:hint="eastAsia" w:ascii="仿宋_GB2312" w:eastAsia="仿宋_GB2312"/>
          <w:color w:val="000000" w:themeColor="text1"/>
          <w:sz w:val="32"/>
          <w:szCs w:val="32"/>
          <w14:textFill>
            <w14:solidFill>
              <w14:schemeClr w14:val="tx1"/>
            </w14:solidFill>
          </w14:textFill>
        </w:rPr>
        <w:t>月24日</w:t>
      </w:r>
    </w:p>
    <w:p w14:paraId="5CD6C7AC">
      <w:pPr>
        <w:pStyle w:val="26"/>
        <w:jc w:val="center"/>
      </w:pPr>
    </w:p>
    <w:sectPr>
      <w:pgSz w:w="11906" w:h="16838"/>
      <w:pgMar w:top="1474" w:right="1474" w:bottom="1474" w:left="147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26EBE8-5875-434C-BF86-C9C771C323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03B65CC-00A3-4760-9518-BB2860B30AD3}"/>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7CD283EA-4E4B-441B-A114-EC62686A0CA6}"/>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6338B8DE-8160-4063-8F0F-D33829EEA7DD}"/>
  </w:font>
  <w:font w:name="楷体">
    <w:panose1 w:val="02010609060101010101"/>
    <w:charset w:val="86"/>
    <w:family w:val="modern"/>
    <w:pitch w:val="default"/>
    <w:sig w:usb0="800002BF" w:usb1="38CF7CFA" w:usb2="00000016" w:usb3="00000000" w:csb0="00040001" w:csb1="00000000"/>
    <w:embedRegular r:id="rId5" w:fontKey="{3AA56A6A-4BC0-463C-BB15-535C63665A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1FB5">
    <w:pPr>
      <w:pStyle w:val="10"/>
      <w:ind w:firstLine="37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4791FD5">
                          <w:pPr>
                            <w:pStyle w:val="10"/>
                            <w:rPr>
                              <w:rFonts w:hint="eastAsia" w:ascii="宋体" w:hAnsi="宋体"/>
                              <w:sz w:val="21"/>
                            </w:rPr>
                          </w:pPr>
                          <w:r>
                            <w:rPr>
                              <w:rFonts w:hint="eastAsia" w:ascii="宋体" w:hAnsi="宋体"/>
                              <w:sz w:val="21"/>
                            </w:rPr>
                            <w:fldChar w:fldCharType="begin"/>
                          </w:r>
                          <w:r>
                            <w:rPr>
                              <w:rFonts w:hint="eastAsia" w:ascii="宋体" w:hAnsi="宋体"/>
                              <w:sz w:val="21"/>
                            </w:rPr>
                            <w:instrText xml:space="preserve"> PAGE  \* MERGEFORMAT </w:instrText>
                          </w:r>
                          <w:r>
                            <w:rPr>
                              <w:rFonts w:hint="eastAsia" w:ascii="宋体" w:hAnsi="宋体"/>
                              <w:sz w:val="21"/>
                            </w:rPr>
                            <w:fldChar w:fldCharType="separate"/>
                          </w:r>
                          <w:r>
                            <w:rPr>
                              <w:rFonts w:ascii="宋体" w:hAnsi="宋体"/>
                              <w:sz w:val="21"/>
                            </w:rPr>
                            <w:t>6</w:t>
                          </w:r>
                          <w:r>
                            <w:rPr>
                              <w:rFonts w:hint="eastAsia" w:ascii="宋体" w:hAnsi="宋体"/>
                              <w:sz w:val="21"/>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4791FD5">
                    <w:pPr>
                      <w:pStyle w:val="10"/>
                      <w:rPr>
                        <w:rFonts w:hint="eastAsia" w:ascii="宋体" w:hAnsi="宋体"/>
                        <w:sz w:val="21"/>
                      </w:rPr>
                    </w:pPr>
                    <w:r>
                      <w:rPr>
                        <w:rFonts w:hint="eastAsia" w:ascii="宋体" w:hAnsi="宋体"/>
                        <w:sz w:val="21"/>
                      </w:rPr>
                      <w:fldChar w:fldCharType="begin"/>
                    </w:r>
                    <w:r>
                      <w:rPr>
                        <w:rFonts w:hint="eastAsia" w:ascii="宋体" w:hAnsi="宋体"/>
                        <w:sz w:val="21"/>
                      </w:rPr>
                      <w:instrText xml:space="preserve"> PAGE  \* MERGEFORMAT </w:instrText>
                    </w:r>
                    <w:r>
                      <w:rPr>
                        <w:rFonts w:hint="eastAsia" w:ascii="宋体" w:hAnsi="宋体"/>
                        <w:sz w:val="21"/>
                      </w:rPr>
                      <w:fldChar w:fldCharType="separate"/>
                    </w:r>
                    <w:r>
                      <w:rPr>
                        <w:rFonts w:ascii="宋体" w:hAnsi="宋体"/>
                        <w:sz w:val="21"/>
                      </w:rPr>
                      <w:t>6</w:t>
                    </w:r>
                    <w:r>
                      <w:rPr>
                        <w:rFonts w:hint="eastAsia" w:ascii="宋体" w:hAnsi="宋体"/>
                        <w:sz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DC261">
    <w:pPr>
      <w:pStyle w:val="10"/>
      <w:ind w:firstLine="37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CCE4EBA">
                          <w:pPr>
                            <w:pStyle w:val="10"/>
                            <w:rPr>
                              <w:rFonts w:hint="eastAsia" w:ascii="宋体" w:hAnsi="宋体"/>
                              <w:sz w:val="21"/>
                            </w:rPr>
                          </w:pPr>
                          <w:r>
                            <w:rPr>
                              <w:rFonts w:hint="eastAsia" w:ascii="宋体" w:hAnsi="宋体"/>
                              <w:sz w:val="21"/>
                            </w:rPr>
                            <w:fldChar w:fldCharType="begin"/>
                          </w:r>
                          <w:r>
                            <w:rPr>
                              <w:rFonts w:hint="eastAsia" w:ascii="宋体" w:hAnsi="宋体"/>
                              <w:sz w:val="21"/>
                            </w:rPr>
                            <w:instrText xml:space="preserve"> PAGE  \* MERGEFORMAT </w:instrText>
                          </w:r>
                          <w:r>
                            <w:rPr>
                              <w:rFonts w:hint="eastAsia" w:ascii="宋体" w:hAnsi="宋体"/>
                              <w:sz w:val="21"/>
                            </w:rPr>
                            <w:fldChar w:fldCharType="separate"/>
                          </w:r>
                          <w:r>
                            <w:rPr>
                              <w:rFonts w:ascii="宋体" w:hAnsi="宋体"/>
                              <w:sz w:val="21"/>
                            </w:rPr>
                            <w:t>6</w:t>
                          </w:r>
                          <w:r>
                            <w:rPr>
                              <w:rFonts w:hint="eastAsia" w:ascii="宋体" w:hAnsi="宋体"/>
                              <w:sz w:val="21"/>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Jc3m9EAAAACAQAADwAAAAAAAAABACAAAAAiAAAA&#10;ZHJzL2Rvd25yZXYueG1sUEsBAhQAFAAAAAgAh07iQBGO/YjVAQAAnwMAAA4AAAAAAAAAAQAgAAAA&#10;IAEAAGRycy9lMm9Eb2MueG1sUEsFBgAAAAAGAAYAWQEAAGcFAAAAAA==&#10;">
              <v:fill on="f" focussize="0,0"/>
              <v:stroke on="f" weight="0.5pt"/>
              <v:imagedata o:title=""/>
              <o:lock v:ext="edit" aspectratio="f"/>
              <v:textbox inset="0mm,0mm,0mm,0mm" style="mso-fit-shape-to-text:t;">
                <w:txbxContent>
                  <w:p w14:paraId="3CCE4EBA">
                    <w:pPr>
                      <w:pStyle w:val="10"/>
                      <w:rPr>
                        <w:rFonts w:hint="eastAsia" w:ascii="宋体" w:hAnsi="宋体"/>
                        <w:sz w:val="21"/>
                      </w:rPr>
                    </w:pPr>
                    <w:r>
                      <w:rPr>
                        <w:rFonts w:hint="eastAsia" w:ascii="宋体" w:hAnsi="宋体"/>
                        <w:sz w:val="21"/>
                      </w:rPr>
                      <w:fldChar w:fldCharType="begin"/>
                    </w:r>
                    <w:r>
                      <w:rPr>
                        <w:rFonts w:hint="eastAsia" w:ascii="宋体" w:hAnsi="宋体"/>
                        <w:sz w:val="21"/>
                      </w:rPr>
                      <w:instrText xml:space="preserve"> PAGE  \* MERGEFORMAT </w:instrText>
                    </w:r>
                    <w:r>
                      <w:rPr>
                        <w:rFonts w:hint="eastAsia" w:ascii="宋体" w:hAnsi="宋体"/>
                        <w:sz w:val="21"/>
                      </w:rPr>
                      <w:fldChar w:fldCharType="separate"/>
                    </w:r>
                    <w:r>
                      <w:rPr>
                        <w:rFonts w:ascii="宋体" w:hAnsi="宋体"/>
                        <w:sz w:val="21"/>
                      </w:rPr>
                      <w:t>6</w:t>
                    </w:r>
                    <w:r>
                      <w:rPr>
                        <w:rFonts w:hint="eastAsia" w:ascii="宋体" w:hAnsi="宋体"/>
                        <w:sz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45"/>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0BDC1670"/>
    <w:multiLevelType w:val="multilevel"/>
    <w:tmpl w:val="0BDC1670"/>
    <w:lvl w:ilvl="0" w:tentative="0">
      <w:start w:val="1"/>
      <w:numFmt w:val="decimal"/>
      <w:pStyle w:val="6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C5917C3"/>
    <w:multiLevelType w:val="multilevel"/>
    <w:tmpl w:val="2C5917C3"/>
    <w:lvl w:ilvl="0" w:tentative="0">
      <w:start w:val="1"/>
      <w:numFmt w:val="none"/>
      <w:pStyle w:val="59"/>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3">
    <w:nsid w:val="44C50F90"/>
    <w:multiLevelType w:val="multilevel"/>
    <w:tmpl w:val="44C50F90"/>
    <w:lvl w:ilvl="0" w:tentative="0">
      <w:start w:val="1"/>
      <w:numFmt w:val="lowerLetter"/>
      <w:pStyle w:val="54"/>
      <w:lvlText w:val="%1)"/>
      <w:lvlJc w:val="left"/>
      <w:pPr>
        <w:tabs>
          <w:tab w:val="left" w:pos="851"/>
        </w:tabs>
        <w:ind w:left="851" w:hanging="426"/>
      </w:pPr>
      <w:rPr>
        <w:rFonts w:hint="eastAsia" w:ascii="宋体" w:hAnsi="Times New Roman" w:eastAsia="宋体"/>
        <w:sz w:val="21"/>
      </w:rPr>
    </w:lvl>
    <w:lvl w:ilvl="1" w:tentative="0">
      <w:start w:val="1"/>
      <w:numFmt w:val="decimal"/>
      <w:pStyle w:val="52"/>
      <w:lvlText w:val="%2)"/>
      <w:lvlJc w:val="left"/>
      <w:pPr>
        <w:tabs>
          <w:tab w:val="left" w:pos="1276"/>
        </w:tabs>
        <w:ind w:left="1276" w:hanging="425"/>
      </w:pPr>
      <w:rPr>
        <w:rFonts w:hint="eastAsia" w:ascii="宋体" w:hAnsi="Times New Roman" w:eastAsia="宋体"/>
        <w:sz w:val="21"/>
      </w:rPr>
    </w:lvl>
    <w:lvl w:ilvl="2" w:tentative="0">
      <w:start w:val="1"/>
      <w:numFmt w:val="decimal"/>
      <w:pStyle w:val="5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5A9B6960"/>
    <w:multiLevelType w:val="multilevel"/>
    <w:tmpl w:val="5A9B6960"/>
    <w:lvl w:ilvl="0" w:tentative="0">
      <w:start w:val="1"/>
      <w:numFmt w:val="none"/>
      <w:pStyle w:val="42"/>
      <w:suff w:val="nothing"/>
      <w:lvlText w:val="%1"/>
      <w:legacy w:legacy="1" w:legacySpace="0" w:legacyIndent="0"/>
      <w:lvlJc w:val="left"/>
      <w:pPr>
        <w:ind w:left="0" w:firstLine="0"/>
      </w:pPr>
      <w:rPr>
        <w:rFonts w:hint="eastAsia"/>
      </w:rPr>
    </w:lvl>
    <w:lvl w:ilvl="1" w:tentative="0">
      <w:start w:val="1"/>
      <w:numFmt w:val="decimal"/>
      <w:pStyle w:val="36"/>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8"/>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4"/>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3"/>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41"/>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6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4"/>
  </w:num>
  <w:num w:numId="2">
    <w:abstractNumId w:val="0"/>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cwMDc0ZjI4NzNlMjMwZWM0OGFmYTgxZDU4M2Y4NDAifQ=="/>
  </w:docVars>
  <w:rsids>
    <w:rsidRoot w:val="000D75AA"/>
    <w:rsid w:val="000026B4"/>
    <w:rsid w:val="000068A2"/>
    <w:rsid w:val="00014983"/>
    <w:rsid w:val="00014F92"/>
    <w:rsid w:val="000171F6"/>
    <w:rsid w:val="000178C8"/>
    <w:rsid w:val="00021AEF"/>
    <w:rsid w:val="00024C52"/>
    <w:rsid w:val="0004185E"/>
    <w:rsid w:val="00041CA7"/>
    <w:rsid w:val="000424C0"/>
    <w:rsid w:val="000513F3"/>
    <w:rsid w:val="00051A80"/>
    <w:rsid w:val="00051C74"/>
    <w:rsid w:val="00051F5E"/>
    <w:rsid w:val="000540AB"/>
    <w:rsid w:val="00055442"/>
    <w:rsid w:val="00061BDC"/>
    <w:rsid w:val="0006459C"/>
    <w:rsid w:val="000671D8"/>
    <w:rsid w:val="000709A1"/>
    <w:rsid w:val="00071CAA"/>
    <w:rsid w:val="00072103"/>
    <w:rsid w:val="000743B4"/>
    <w:rsid w:val="00075653"/>
    <w:rsid w:val="00076330"/>
    <w:rsid w:val="00082613"/>
    <w:rsid w:val="00092E1F"/>
    <w:rsid w:val="00094B6B"/>
    <w:rsid w:val="000968C6"/>
    <w:rsid w:val="000969BE"/>
    <w:rsid w:val="00097E01"/>
    <w:rsid w:val="000A2616"/>
    <w:rsid w:val="000A77F5"/>
    <w:rsid w:val="000B2F3C"/>
    <w:rsid w:val="000B3320"/>
    <w:rsid w:val="000B3E65"/>
    <w:rsid w:val="000B4242"/>
    <w:rsid w:val="000B6E76"/>
    <w:rsid w:val="000C3C30"/>
    <w:rsid w:val="000C3F40"/>
    <w:rsid w:val="000C517B"/>
    <w:rsid w:val="000C6800"/>
    <w:rsid w:val="000C7685"/>
    <w:rsid w:val="000D1FCA"/>
    <w:rsid w:val="000D211A"/>
    <w:rsid w:val="000D35F1"/>
    <w:rsid w:val="000D47AC"/>
    <w:rsid w:val="000D636E"/>
    <w:rsid w:val="000D688C"/>
    <w:rsid w:val="000D6AA8"/>
    <w:rsid w:val="000D75AA"/>
    <w:rsid w:val="000E0C0E"/>
    <w:rsid w:val="000E53EA"/>
    <w:rsid w:val="000F03C9"/>
    <w:rsid w:val="000F21F0"/>
    <w:rsid w:val="000F2317"/>
    <w:rsid w:val="000F2861"/>
    <w:rsid w:val="000F7AED"/>
    <w:rsid w:val="00101040"/>
    <w:rsid w:val="00110AC2"/>
    <w:rsid w:val="001114EB"/>
    <w:rsid w:val="001121F0"/>
    <w:rsid w:val="001133E6"/>
    <w:rsid w:val="001133EF"/>
    <w:rsid w:val="001143BC"/>
    <w:rsid w:val="00116CEA"/>
    <w:rsid w:val="0012345E"/>
    <w:rsid w:val="00132D8B"/>
    <w:rsid w:val="001334A1"/>
    <w:rsid w:val="00133F3E"/>
    <w:rsid w:val="0013596D"/>
    <w:rsid w:val="00141D5D"/>
    <w:rsid w:val="00141D9D"/>
    <w:rsid w:val="001437B3"/>
    <w:rsid w:val="00152CB3"/>
    <w:rsid w:val="001530FB"/>
    <w:rsid w:val="001548F8"/>
    <w:rsid w:val="001655CC"/>
    <w:rsid w:val="0018012C"/>
    <w:rsid w:val="001821C9"/>
    <w:rsid w:val="00183018"/>
    <w:rsid w:val="00190E01"/>
    <w:rsid w:val="00192A37"/>
    <w:rsid w:val="001968C3"/>
    <w:rsid w:val="001A3825"/>
    <w:rsid w:val="001A7570"/>
    <w:rsid w:val="001B0030"/>
    <w:rsid w:val="001B3580"/>
    <w:rsid w:val="001B6B04"/>
    <w:rsid w:val="001C21D4"/>
    <w:rsid w:val="001C4C8F"/>
    <w:rsid w:val="001C684B"/>
    <w:rsid w:val="001C7DE8"/>
    <w:rsid w:val="001D03FF"/>
    <w:rsid w:val="001D0584"/>
    <w:rsid w:val="001D3156"/>
    <w:rsid w:val="001D4971"/>
    <w:rsid w:val="001E1206"/>
    <w:rsid w:val="001E130D"/>
    <w:rsid w:val="001E1CA6"/>
    <w:rsid w:val="001E29C4"/>
    <w:rsid w:val="001E2D73"/>
    <w:rsid w:val="001F251A"/>
    <w:rsid w:val="001F2A8F"/>
    <w:rsid w:val="001F4D35"/>
    <w:rsid w:val="001F5F5D"/>
    <w:rsid w:val="00200252"/>
    <w:rsid w:val="0020127F"/>
    <w:rsid w:val="00204829"/>
    <w:rsid w:val="00205352"/>
    <w:rsid w:val="00205D69"/>
    <w:rsid w:val="00210FD3"/>
    <w:rsid w:val="00212227"/>
    <w:rsid w:val="0021503F"/>
    <w:rsid w:val="00215478"/>
    <w:rsid w:val="002209F0"/>
    <w:rsid w:val="002210B4"/>
    <w:rsid w:val="00221DEA"/>
    <w:rsid w:val="0022236C"/>
    <w:rsid w:val="0022377B"/>
    <w:rsid w:val="002251A3"/>
    <w:rsid w:val="00226607"/>
    <w:rsid w:val="002324B6"/>
    <w:rsid w:val="00234F7D"/>
    <w:rsid w:val="00235F58"/>
    <w:rsid w:val="00236909"/>
    <w:rsid w:val="00236EB4"/>
    <w:rsid w:val="00237A0A"/>
    <w:rsid w:val="00241F8A"/>
    <w:rsid w:val="00242A75"/>
    <w:rsid w:val="00242E52"/>
    <w:rsid w:val="0024606D"/>
    <w:rsid w:val="00246E41"/>
    <w:rsid w:val="00251C09"/>
    <w:rsid w:val="0025373A"/>
    <w:rsid w:val="00253845"/>
    <w:rsid w:val="002546EF"/>
    <w:rsid w:val="00262001"/>
    <w:rsid w:val="00263E80"/>
    <w:rsid w:val="002679F0"/>
    <w:rsid w:val="00271E05"/>
    <w:rsid w:val="00280BDB"/>
    <w:rsid w:val="00281F39"/>
    <w:rsid w:val="0028500C"/>
    <w:rsid w:val="0028575C"/>
    <w:rsid w:val="002879F6"/>
    <w:rsid w:val="00291CD8"/>
    <w:rsid w:val="002920DE"/>
    <w:rsid w:val="00292F73"/>
    <w:rsid w:val="0029554A"/>
    <w:rsid w:val="00297734"/>
    <w:rsid w:val="002A2DDC"/>
    <w:rsid w:val="002A3479"/>
    <w:rsid w:val="002A3683"/>
    <w:rsid w:val="002A6366"/>
    <w:rsid w:val="002B7B10"/>
    <w:rsid w:val="002B7C92"/>
    <w:rsid w:val="002C0F07"/>
    <w:rsid w:val="002C176B"/>
    <w:rsid w:val="002C3627"/>
    <w:rsid w:val="002D005F"/>
    <w:rsid w:val="002D0B78"/>
    <w:rsid w:val="002D2273"/>
    <w:rsid w:val="002D4342"/>
    <w:rsid w:val="002D5597"/>
    <w:rsid w:val="002E1B63"/>
    <w:rsid w:val="002E357A"/>
    <w:rsid w:val="002E3B58"/>
    <w:rsid w:val="002E4234"/>
    <w:rsid w:val="002E5273"/>
    <w:rsid w:val="002F03C6"/>
    <w:rsid w:val="002F0D8E"/>
    <w:rsid w:val="002F4C45"/>
    <w:rsid w:val="002F5817"/>
    <w:rsid w:val="002F5C0C"/>
    <w:rsid w:val="00300FDB"/>
    <w:rsid w:val="00302739"/>
    <w:rsid w:val="00302A1F"/>
    <w:rsid w:val="00310A68"/>
    <w:rsid w:val="0031223D"/>
    <w:rsid w:val="00312804"/>
    <w:rsid w:val="00313922"/>
    <w:rsid w:val="00315D1F"/>
    <w:rsid w:val="003160CF"/>
    <w:rsid w:val="00316571"/>
    <w:rsid w:val="00317091"/>
    <w:rsid w:val="00317530"/>
    <w:rsid w:val="00320CB4"/>
    <w:rsid w:val="00321E92"/>
    <w:rsid w:val="00322535"/>
    <w:rsid w:val="003259AF"/>
    <w:rsid w:val="00325F9F"/>
    <w:rsid w:val="0032620D"/>
    <w:rsid w:val="0033062D"/>
    <w:rsid w:val="003306DD"/>
    <w:rsid w:val="00330A4E"/>
    <w:rsid w:val="00332242"/>
    <w:rsid w:val="003329C7"/>
    <w:rsid w:val="003332BA"/>
    <w:rsid w:val="003348AA"/>
    <w:rsid w:val="00340D9B"/>
    <w:rsid w:val="00340FDE"/>
    <w:rsid w:val="003460F3"/>
    <w:rsid w:val="00346534"/>
    <w:rsid w:val="003479E3"/>
    <w:rsid w:val="003517E7"/>
    <w:rsid w:val="00351C4B"/>
    <w:rsid w:val="00357BDF"/>
    <w:rsid w:val="00360A67"/>
    <w:rsid w:val="00360BAF"/>
    <w:rsid w:val="00361596"/>
    <w:rsid w:val="00362C01"/>
    <w:rsid w:val="00367D5E"/>
    <w:rsid w:val="00371B5F"/>
    <w:rsid w:val="00372E66"/>
    <w:rsid w:val="00373160"/>
    <w:rsid w:val="00375933"/>
    <w:rsid w:val="0037633C"/>
    <w:rsid w:val="00382E35"/>
    <w:rsid w:val="00384168"/>
    <w:rsid w:val="003872E4"/>
    <w:rsid w:val="00390AD8"/>
    <w:rsid w:val="00390C14"/>
    <w:rsid w:val="00391F54"/>
    <w:rsid w:val="00393447"/>
    <w:rsid w:val="00396F2C"/>
    <w:rsid w:val="003A3F27"/>
    <w:rsid w:val="003A49FF"/>
    <w:rsid w:val="003A5862"/>
    <w:rsid w:val="003A694A"/>
    <w:rsid w:val="003B0042"/>
    <w:rsid w:val="003B45A7"/>
    <w:rsid w:val="003B4F42"/>
    <w:rsid w:val="003B4FCF"/>
    <w:rsid w:val="003B6088"/>
    <w:rsid w:val="003C0E61"/>
    <w:rsid w:val="003D3995"/>
    <w:rsid w:val="003D3CB2"/>
    <w:rsid w:val="003D485E"/>
    <w:rsid w:val="003D5559"/>
    <w:rsid w:val="003D5741"/>
    <w:rsid w:val="003D7E9E"/>
    <w:rsid w:val="003E080C"/>
    <w:rsid w:val="003E2B4C"/>
    <w:rsid w:val="003F7985"/>
    <w:rsid w:val="00400A69"/>
    <w:rsid w:val="00400B2B"/>
    <w:rsid w:val="00400F75"/>
    <w:rsid w:val="004012D1"/>
    <w:rsid w:val="00405301"/>
    <w:rsid w:val="00406CA3"/>
    <w:rsid w:val="00411EFB"/>
    <w:rsid w:val="0041392D"/>
    <w:rsid w:val="00417593"/>
    <w:rsid w:val="00422CC8"/>
    <w:rsid w:val="00424FB3"/>
    <w:rsid w:val="00426402"/>
    <w:rsid w:val="0042686B"/>
    <w:rsid w:val="00426DC5"/>
    <w:rsid w:val="00430411"/>
    <w:rsid w:val="004314F4"/>
    <w:rsid w:val="00432DC4"/>
    <w:rsid w:val="004373E9"/>
    <w:rsid w:val="00440265"/>
    <w:rsid w:val="0044036C"/>
    <w:rsid w:val="0044048B"/>
    <w:rsid w:val="0044065E"/>
    <w:rsid w:val="00444679"/>
    <w:rsid w:val="004458BB"/>
    <w:rsid w:val="0045095B"/>
    <w:rsid w:val="00455701"/>
    <w:rsid w:val="00460660"/>
    <w:rsid w:val="00460A36"/>
    <w:rsid w:val="004612C5"/>
    <w:rsid w:val="00461AA3"/>
    <w:rsid w:val="00462FF9"/>
    <w:rsid w:val="00471CEC"/>
    <w:rsid w:val="00473D8F"/>
    <w:rsid w:val="00474293"/>
    <w:rsid w:val="0047786D"/>
    <w:rsid w:val="004805DB"/>
    <w:rsid w:val="00480B2B"/>
    <w:rsid w:val="0048511D"/>
    <w:rsid w:val="00495AFE"/>
    <w:rsid w:val="00496185"/>
    <w:rsid w:val="00496EA4"/>
    <w:rsid w:val="004A18D9"/>
    <w:rsid w:val="004A4C72"/>
    <w:rsid w:val="004A75FF"/>
    <w:rsid w:val="004B0877"/>
    <w:rsid w:val="004B4D68"/>
    <w:rsid w:val="004C181C"/>
    <w:rsid w:val="004C445A"/>
    <w:rsid w:val="004C4477"/>
    <w:rsid w:val="004C4F1D"/>
    <w:rsid w:val="004C6673"/>
    <w:rsid w:val="004C7096"/>
    <w:rsid w:val="004C78DD"/>
    <w:rsid w:val="004C78FD"/>
    <w:rsid w:val="004C7CD6"/>
    <w:rsid w:val="004D3C4E"/>
    <w:rsid w:val="004D70EE"/>
    <w:rsid w:val="004D7C66"/>
    <w:rsid w:val="004E0167"/>
    <w:rsid w:val="004E152E"/>
    <w:rsid w:val="004E2983"/>
    <w:rsid w:val="004E5371"/>
    <w:rsid w:val="004E661D"/>
    <w:rsid w:val="004E77D0"/>
    <w:rsid w:val="004F29B4"/>
    <w:rsid w:val="004F3228"/>
    <w:rsid w:val="004F6C5C"/>
    <w:rsid w:val="004F6DB3"/>
    <w:rsid w:val="005020DE"/>
    <w:rsid w:val="005051BE"/>
    <w:rsid w:val="00506D43"/>
    <w:rsid w:val="00507297"/>
    <w:rsid w:val="00510DCF"/>
    <w:rsid w:val="00510F10"/>
    <w:rsid w:val="00511151"/>
    <w:rsid w:val="005124A3"/>
    <w:rsid w:val="00512A66"/>
    <w:rsid w:val="00515B82"/>
    <w:rsid w:val="0051608A"/>
    <w:rsid w:val="0051755E"/>
    <w:rsid w:val="005208D0"/>
    <w:rsid w:val="00524029"/>
    <w:rsid w:val="00524E15"/>
    <w:rsid w:val="00527354"/>
    <w:rsid w:val="00527E33"/>
    <w:rsid w:val="00533B2A"/>
    <w:rsid w:val="0053400A"/>
    <w:rsid w:val="0053501E"/>
    <w:rsid w:val="0053635F"/>
    <w:rsid w:val="00536C3C"/>
    <w:rsid w:val="00537853"/>
    <w:rsid w:val="00537E5F"/>
    <w:rsid w:val="00540C2F"/>
    <w:rsid w:val="00540ED5"/>
    <w:rsid w:val="0054119B"/>
    <w:rsid w:val="00542F30"/>
    <w:rsid w:val="00544407"/>
    <w:rsid w:val="0054736C"/>
    <w:rsid w:val="00547941"/>
    <w:rsid w:val="00547AAF"/>
    <w:rsid w:val="005505FD"/>
    <w:rsid w:val="0055431F"/>
    <w:rsid w:val="00554B7D"/>
    <w:rsid w:val="00564A0C"/>
    <w:rsid w:val="00564F91"/>
    <w:rsid w:val="00565DC9"/>
    <w:rsid w:val="0056706B"/>
    <w:rsid w:val="00571433"/>
    <w:rsid w:val="00571BCB"/>
    <w:rsid w:val="005734DC"/>
    <w:rsid w:val="00573DE7"/>
    <w:rsid w:val="00575956"/>
    <w:rsid w:val="00575C51"/>
    <w:rsid w:val="005777D1"/>
    <w:rsid w:val="00583E03"/>
    <w:rsid w:val="00585927"/>
    <w:rsid w:val="005873FB"/>
    <w:rsid w:val="00587FAC"/>
    <w:rsid w:val="005910DC"/>
    <w:rsid w:val="00594F6B"/>
    <w:rsid w:val="0059544C"/>
    <w:rsid w:val="00597C52"/>
    <w:rsid w:val="005A067E"/>
    <w:rsid w:val="005A4A0E"/>
    <w:rsid w:val="005A7C01"/>
    <w:rsid w:val="005B304B"/>
    <w:rsid w:val="005B6868"/>
    <w:rsid w:val="005C07C8"/>
    <w:rsid w:val="005C2C71"/>
    <w:rsid w:val="005C5910"/>
    <w:rsid w:val="005C5B2E"/>
    <w:rsid w:val="005C68B4"/>
    <w:rsid w:val="005C6BB1"/>
    <w:rsid w:val="005D2ABC"/>
    <w:rsid w:val="005D3003"/>
    <w:rsid w:val="005D616B"/>
    <w:rsid w:val="005D6C2D"/>
    <w:rsid w:val="005E3C13"/>
    <w:rsid w:val="005E47AA"/>
    <w:rsid w:val="005E5F8F"/>
    <w:rsid w:val="005E7B33"/>
    <w:rsid w:val="005F09D2"/>
    <w:rsid w:val="005F1668"/>
    <w:rsid w:val="005F2769"/>
    <w:rsid w:val="005F2AD0"/>
    <w:rsid w:val="005F2FD2"/>
    <w:rsid w:val="005F4961"/>
    <w:rsid w:val="005F529E"/>
    <w:rsid w:val="0060186C"/>
    <w:rsid w:val="00605A2E"/>
    <w:rsid w:val="0060769D"/>
    <w:rsid w:val="00611B2F"/>
    <w:rsid w:val="006121F4"/>
    <w:rsid w:val="00617539"/>
    <w:rsid w:val="00617590"/>
    <w:rsid w:val="00617B08"/>
    <w:rsid w:val="006260BB"/>
    <w:rsid w:val="0062727F"/>
    <w:rsid w:val="00627AB4"/>
    <w:rsid w:val="00631D1E"/>
    <w:rsid w:val="006335ED"/>
    <w:rsid w:val="00633E53"/>
    <w:rsid w:val="006342DB"/>
    <w:rsid w:val="006343EC"/>
    <w:rsid w:val="0063539D"/>
    <w:rsid w:val="006371EA"/>
    <w:rsid w:val="00637F53"/>
    <w:rsid w:val="006470F2"/>
    <w:rsid w:val="006477EC"/>
    <w:rsid w:val="00650F3D"/>
    <w:rsid w:val="00650FD7"/>
    <w:rsid w:val="006511A8"/>
    <w:rsid w:val="006526CC"/>
    <w:rsid w:val="00653597"/>
    <w:rsid w:val="00653CD9"/>
    <w:rsid w:val="00654C80"/>
    <w:rsid w:val="00660ECB"/>
    <w:rsid w:val="00661F06"/>
    <w:rsid w:val="00664AC8"/>
    <w:rsid w:val="0066650C"/>
    <w:rsid w:val="0066728E"/>
    <w:rsid w:val="0067031D"/>
    <w:rsid w:val="0067378F"/>
    <w:rsid w:val="0067489E"/>
    <w:rsid w:val="006773E1"/>
    <w:rsid w:val="0068386A"/>
    <w:rsid w:val="00685738"/>
    <w:rsid w:val="00691000"/>
    <w:rsid w:val="00691524"/>
    <w:rsid w:val="00695D34"/>
    <w:rsid w:val="006A0FCD"/>
    <w:rsid w:val="006A4226"/>
    <w:rsid w:val="006A4FC1"/>
    <w:rsid w:val="006A5636"/>
    <w:rsid w:val="006A6711"/>
    <w:rsid w:val="006A6CB4"/>
    <w:rsid w:val="006B0BA0"/>
    <w:rsid w:val="006B12C0"/>
    <w:rsid w:val="006B71A8"/>
    <w:rsid w:val="006C0607"/>
    <w:rsid w:val="006C3771"/>
    <w:rsid w:val="006C3BB0"/>
    <w:rsid w:val="006C5213"/>
    <w:rsid w:val="006C5D9F"/>
    <w:rsid w:val="006D0AF0"/>
    <w:rsid w:val="006D35DC"/>
    <w:rsid w:val="006D4F09"/>
    <w:rsid w:val="006E1443"/>
    <w:rsid w:val="006E2C64"/>
    <w:rsid w:val="006E4C07"/>
    <w:rsid w:val="006E6BFD"/>
    <w:rsid w:val="006E746B"/>
    <w:rsid w:val="006F3E35"/>
    <w:rsid w:val="006F55FA"/>
    <w:rsid w:val="007016D6"/>
    <w:rsid w:val="00704968"/>
    <w:rsid w:val="00707BC6"/>
    <w:rsid w:val="007105C4"/>
    <w:rsid w:val="0071134C"/>
    <w:rsid w:val="007125F7"/>
    <w:rsid w:val="00714DDE"/>
    <w:rsid w:val="00720AF6"/>
    <w:rsid w:val="00724389"/>
    <w:rsid w:val="00726FA5"/>
    <w:rsid w:val="00727802"/>
    <w:rsid w:val="00731B29"/>
    <w:rsid w:val="00733795"/>
    <w:rsid w:val="00734E08"/>
    <w:rsid w:val="007351D6"/>
    <w:rsid w:val="00737200"/>
    <w:rsid w:val="00737872"/>
    <w:rsid w:val="00737D62"/>
    <w:rsid w:val="007400B5"/>
    <w:rsid w:val="0074491A"/>
    <w:rsid w:val="007475B1"/>
    <w:rsid w:val="00747D22"/>
    <w:rsid w:val="00754349"/>
    <w:rsid w:val="00754D85"/>
    <w:rsid w:val="007557E4"/>
    <w:rsid w:val="00756356"/>
    <w:rsid w:val="00757FD8"/>
    <w:rsid w:val="007605F1"/>
    <w:rsid w:val="00763D7D"/>
    <w:rsid w:val="0076553F"/>
    <w:rsid w:val="00774434"/>
    <w:rsid w:val="007756AB"/>
    <w:rsid w:val="00777833"/>
    <w:rsid w:val="007805DF"/>
    <w:rsid w:val="007811F6"/>
    <w:rsid w:val="00781D6C"/>
    <w:rsid w:val="007845E1"/>
    <w:rsid w:val="00785759"/>
    <w:rsid w:val="007936EA"/>
    <w:rsid w:val="007940A9"/>
    <w:rsid w:val="007940BF"/>
    <w:rsid w:val="00795EA0"/>
    <w:rsid w:val="007A149B"/>
    <w:rsid w:val="007B1EA3"/>
    <w:rsid w:val="007C08A9"/>
    <w:rsid w:val="007C244C"/>
    <w:rsid w:val="007C66E4"/>
    <w:rsid w:val="007D641F"/>
    <w:rsid w:val="007D725F"/>
    <w:rsid w:val="007E18F0"/>
    <w:rsid w:val="007E608C"/>
    <w:rsid w:val="007F2B8D"/>
    <w:rsid w:val="007F3206"/>
    <w:rsid w:val="007F44C1"/>
    <w:rsid w:val="007F6D75"/>
    <w:rsid w:val="008003BA"/>
    <w:rsid w:val="00801A7F"/>
    <w:rsid w:val="0080563C"/>
    <w:rsid w:val="00806BAC"/>
    <w:rsid w:val="008105E1"/>
    <w:rsid w:val="00812DC4"/>
    <w:rsid w:val="00813A84"/>
    <w:rsid w:val="00814260"/>
    <w:rsid w:val="00814DA3"/>
    <w:rsid w:val="00815F39"/>
    <w:rsid w:val="008206EE"/>
    <w:rsid w:val="008216E8"/>
    <w:rsid w:val="008247C4"/>
    <w:rsid w:val="00825F04"/>
    <w:rsid w:val="00826611"/>
    <w:rsid w:val="00826BFA"/>
    <w:rsid w:val="00831A18"/>
    <w:rsid w:val="0083680B"/>
    <w:rsid w:val="00836EA3"/>
    <w:rsid w:val="00840B0D"/>
    <w:rsid w:val="00850053"/>
    <w:rsid w:val="00853F5C"/>
    <w:rsid w:val="00854417"/>
    <w:rsid w:val="00856862"/>
    <w:rsid w:val="00856A9B"/>
    <w:rsid w:val="00860AE3"/>
    <w:rsid w:val="008653C3"/>
    <w:rsid w:val="008715CA"/>
    <w:rsid w:val="00874BB5"/>
    <w:rsid w:val="00875B83"/>
    <w:rsid w:val="008779C2"/>
    <w:rsid w:val="0088204E"/>
    <w:rsid w:val="00882F78"/>
    <w:rsid w:val="008854C0"/>
    <w:rsid w:val="0088596D"/>
    <w:rsid w:val="00885A19"/>
    <w:rsid w:val="00886CE3"/>
    <w:rsid w:val="00887632"/>
    <w:rsid w:val="0088772E"/>
    <w:rsid w:val="0089057B"/>
    <w:rsid w:val="00890AB3"/>
    <w:rsid w:val="00893A2E"/>
    <w:rsid w:val="00895F4A"/>
    <w:rsid w:val="008973E6"/>
    <w:rsid w:val="008A010A"/>
    <w:rsid w:val="008B22AA"/>
    <w:rsid w:val="008B3416"/>
    <w:rsid w:val="008B3930"/>
    <w:rsid w:val="008B422F"/>
    <w:rsid w:val="008B4863"/>
    <w:rsid w:val="008B579D"/>
    <w:rsid w:val="008B6B5F"/>
    <w:rsid w:val="008B744A"/>
    <w:rsid w:val="008C0D0B"/>
    <w:rsid w:val="008C1022"/>
    <w:rsid w:val="008C2552"/>
    <w:rsid w:val="008C50FF"/>
    <w:rsid w:val="008D00AC"/>
    <w:rsid w:val="008D02D8"/>
    <w:rsid w:val="008D1A38"/>
    <w:rsid w:val="008D3443"/>
    <w:rsid w:val="008D7187"/>
    <w:rsid w:val="008D78B0"/>
    <w:rsid w:val="008E1EB5"/>
    <w:rsid w:val="008E63DC"/>
    <w:rsid w:val="008E7ADB"/>
    <w:rsid w:val="008E7C88"/>
    <w:rsid w:val="008F0233"/>
    <w:rsid w:val="008F0327"/>
    <w:rsid w:val="008F3A33"/>
    <w:rsid w:val="008F77D3"/>
    <w:rsid w:val="008F7B61"/>
    <w:rsid w:val="00901A8D"/>
    <w:rsid w:val="009029CF"/>
    <w:rsid w:val="009031D1"/>
    <w:rsid w:val="00905E4B"/>
    <w:rsid w:val="00907D3C"/>
    <w:rsid w:val="00913E57"/>
    <w:rsid w:val="00917DDE"/>
    <w:rsid w:val="00920F97"/>
    <w:rsid w:val="00921E53"/>
    <w:rsid w:val="0092324A"/>
    <w:rsid w:val="00923402"/>
    <w:rsid w:val="00923653"/>
    <w:rsid w:val="00924305"/>
    <w:rsid w:val="00926112"/>
    <w:rsid w:val="00926E1B"/>
    <w:rsid w:val="00927696"/>
    <w:rsid w:val="009312DF"/>
    <w:rsid w:val="009317D5"/>
    <w:rsid w:val="00932BA3"/>
    <w:rsid w:val="00933182"/>
    <w:rsid w:val="00933571"/>
    <w:rsid w:val="00940E07"/>
    <w:rsid w:val="009411E1"/>
    <w:rsid w:val="009425CD"/>
    <w:rsid w:val="00943727"/>
    <w:rsid w:val="009453F1"/>
    <w:rsid w:val="0094544E"/>
    <w:rsid w:val="00947EBA"/>
    <w:rsid w:val="00952A6C"/>
    <w:rsid w:val="00953891"/>
    <w:rsid w:val="00954DC7"/>
    <w:rsid w:val="00954FD2"/>
    <w:rsid w:val="0096388F"/>
    <w:rsid w:val="00963992"/>
    <w:rsid w:val="00966431"/>
    <w:rsid w:val="00966E03"/>
    <w:rsid w:val="009706A4"/>
    <w:rsid w:val="00970FC4"/>
    <w:rsid w:val="00971556"/>
    <w:rsid w:val="009718CC"/>
    <w:rsid w:val="009750C1"/>
    <w:rsid w:val="00975641"/>
    <w:rsid w:val="00985F7F"/>
    <w:rsid w:val="00991C98"/>
    <w:rsid w:val="00994827"/>
    <w:rsid w:val="00997F40"/>
    <w:rsid w:val="009A0FFB"/>
    <w:rsid w:val="009A13B3"/>
    <w:rsid w:val="009A4141"/>
    <w:rsid w:val="009A5CFB"/>
    <w:rsid w:val="009A62C4"/>
    <w:rsid w:val="009B36FD"/>
    <w:rsid w:val="009B795D"/>
    <w:rsid w:val="009C0BDB"/>
    <w:rsid w:val="009C174F"/>
    <w:rsid w:val="009C21A2"/>
    <w:rsid w:val="009C2645"/>
    <w:rsid w:val="009C5B24"/>
    <w:rsid w:val="009D1C9B"/>
    <w:rsid w:val="009D2D7E"/>
    <w:rsid w:val="009D438F"/>
    <w:rsid w:val="009D5100"/>
    <w:rsid w:val="009D6865"/>
    <w:rsid w:val="009E3161"/>
    <w:rsid w:val="009F0F09"/>
    <w:rsid w:val="009F33B1"/>
    <w:rsid w:val="009F7D99"/>
    <w:rsid w:val="00A0200B"/>
    <w:rsid w:val="00A05C7B"/>
    <w:rsid w:val="00A065E9"/>
    <w:rsid w:val="00A11DCA"/>
    <w:rsid w:val="00A12161"/>
    <w:rsid w:val="00A1234F"/>
    <w:rsid w:val="00A1372A"/>
    <w:rsid w:val="00A16A3E"/>
    <w:rsid w:val="00A16D74"/>
    <w:rsid w:val="00A204FE"/>
    <w:rsid w:val="00A22171"/>
    <w:rsid w:val="00A22C63"/>
    <w:rsid w:val="00A23C1F"/>
    <w:rsid w:val="00A24C55"/>
    <w:rsid w:val="00A263D3"/>
    <w:rsid w:val="00A2656A"/>
    <w:rsid w:val="00A30314"/>
    <w:rsid w:val="00A324C0"/>
    <w:rsid w:val="00A356AD"/>
    <w:rsid w:val="00A365A2"/>
    <w:rsid w:val="00A37FDF"/>
    <w:rsid w:val="00A412E6"/>
    <w:rsid w:val="00A42C5E"/>
    <w:rsid w:val="00A4360A"/>
    <w:rsid w:val="00A43914"/>
    <w:rsid w:val="00A449BB"/>
    <w:rsid w:val="00A467C0"/>
    <w:rsid w:val="00A511A6"/>
    <w:rsid w:val="00A51D6B"/>
    <w:rsid w:val="00A52D71"/>
    <w:rsid w:val="00A52E40"/>
    <w:rsid w:val="00A55696"/>
    <w:rsid w:val="00A602E9"/>
    <w:rsid w:val="00A72EA5"/>
    <w:rsid w:val="00A73E5A"/>
    <w:rsid w:val="00A75476"/>
    <w:rsid w:val="00A80798"/>
    <w:rsid w:val="00A84390"/>
    <w:rsid w:val="00A86090"/>
    <w:rsid w:val="00A865BA"/>
    <w:rsid w:val="00A877C5"/>
    <w:rsid w:val="00A87F41"/>
    <w:rsid w:val="00A87F8B"/>
    <w:rsid w:val="00A93EC6"/>
    <w:rsid w:val="00A94D0D"/>
    <w:rsid w:val="00AA112C"/>
    <w:rsid w:val="00AA4E65"/>
    <w:rsid w:val="00AA703E"/>
    <w:rsid w:val="00AB0481"/>
    <w:rsid w:val="00AB10F4"/>
    <w:rsid w:val="00AB565E"/>
    <w:rsid w:val="00AC1923"/>
    <w:rsid w:val="00AC3575"/>
    <w:rsid w:val="00AC57C3"/>
    <w:rsid w:val="00AC63CF"/>
    <w:rsid w:val="00AD0169"/>
    <w:rsid w:val="00AD0172"/>
    <w:rsid w:val="00AD105E"/>
    <w:rsid w:val="00AD2BF7"/>
    <w:rsid w:val="00AD4D17"/>
    <w:rsid w:val="00AD5449"/>
    <w:rsid w:val="00AD6E16"/>
    <w:rsid w:val="00AE261F"/>
    <w:rsid w:val="00AE277B"/>
    <w:rsid w:val="00AE2D3E"/>
    <w:rsid w:val="00AE2DC3"/>
    <w:rsid w:val="00AE3954"/>
    <w:rsid w:val="00AE3AD9"/>
    <w:rsid w:val="00AE5727"/>
    <w:rsid w:val="00AE6AA1"/>
    <w:rsid w:val="00AE7155"/>
    <w:rsid w:val="00AE7B31"/>
    <w:rsid w:val="00AF11A3"/>
    <w:rsid w:val="00AF1EF8"/>
    <w:rsid w:val="00B02088"/>
    <w:rsid w:val="00B0340D"/>
    <w:rsid w:val="00B03636"/>
    <w:rsid w:val="00B046DF"/>
    <w:rsid w:val="00B0506E"/>
    <w:rsid w:val="00B05BC1"/>
    <w:rsid w:val="00B07A8A"/>
    <w:rsid w:val="00B11249"/>
    <w:rsid w:val="00B11CC1"/>
    <w:rsid w:val="00B122F4"/>
    <w:rsid w:val="00B13D72"/>
    <w:rsid w:val="00B144D3"/>
    <w:rsid w:val="00B1480E"/>
    <w:rsid w:val="00B17E03"/>
    <w:rsid w:val="00B213D1"/>
    <w:rsid w:val="00B233CC"/>
    <w:rsid w:val="00B23C80"/>
    <w:rsid w:val="00B258C7"/>
    <w:rsid w:val="00B339D7"/>
    <w:rsid w:val="00B37157"/>
    <w:rsid w:val="00B37261"/>
    <w:rsid w:val="00B429E8"/>
    <w:rsid w:val="00B43752"/>
    <w:rsid w:val="00B50F8B"/>
    <w:rsid w:val="00B53F5C"/>
    <w:rsid w:val="00B54989"/>
    <w:rsid w:val="00B54E52"/>
    <w:rsid w:val="00B5537F"/>
    <w:rsid w:val="00B55800"/>
    <w:rsid w:val="00B56568"/>
    <w:rsid w:val="00B63784"/>
    <w:rsid w:val="00B65AE9"/>
    <w:rsid w:val="00B66676"/>
    <w:rsid w:val="00B6740B"/>
    <w:rsid w:val="00B708B2"/>
    <w:rsid w:val="00B73416"/>
    <w:rsid w:val="00B77477"/>
    <w:rsid w:val="00B81E53"/>
    <w:rsid w:val="00B82470"/>
    <w:rsid w:val="00B8532C"/>
    <w:rsid w:val="00B938A5"/>
    <w:rsid w:val="00B94E0B"/>
    <w:rsid w:val="00B94EFE"/>
    <w:rsid w:val="00B954B8"/>
    <w:rsid w:val="00B95769"/>
    <w:rsid w:val="00B95AA9"/>
    <w:rsid w:val="00BA1E45"/>
    <w:rsid w:val="00BA33F4"/>
    <w:rsid w:val="00BA570D"/>
    <w:rsid w:val="00BA5A89"/>
    <w:rsid w:val="00BA67F2"/>
    <w:rsid w:val="00BB0302"/>
    <w:rsid w:val="00BB0578"/>
    <w:rsid w:val="00BB14F3"/>
    <w:rsid w:val="00BB2599"/>
    <w:rsid w:val="00BB4557"/>
    <w:rsid w:val="00BB4A60"/>
    <w:rsid w:val="00BB6932"/>
    <w:rsid w:val="00BB7B52"/>
    <w:rsid w:val="00BC09B1"/>
    <w:rsid w:val="00BC0AE7"/>
    <w:rsid w:val="00BC0EBE"/>
    <w:rsid w:val="00BC1466"/>
    <w:rsid w:val="00BC2838"/>
    <w:rsid w:val="00BC75E3"/>
    <w:rsid w:val="00BD0462"/>
    <w:rsid w:val="00BD049A"/>
    <w:rsid w:val="00BD1C9B"/>
    <w:rsid w:val="00BD2990"/>
    <w:rsid w:val="00BD46AC"/>
    <w:rsid w:val="00BD50BC"/>
    <w:rsid w:val="00BD58F8"/>
    <w:rsid w:val="00BE1405"/>
    <w:rsid w:val="00BE2434"/>
    <w:rsid w:val="00BE4828"/>
    <w:rsid w:val="00BE7E1C"/>
    <w:rsid w:val="00BF1BCD"/>
    <w:rsid w:val="00BF2633"/>
    <w:rsid w:val="00C01697"/>
    <w:rsid w:val="00C0404B"/>
    <w:rsid w:val="00C07069"/>
    <w:rsid w:val="00C10DDC"/>
    <w:rsid w:val="00C11840"/>
    <w:rsid w:val="00C123EE"/>
    <w:rsid w:val="00C13CB6"/>
    <w:rsid w:val="00C16960"/>
    <w:rsid w:val="00C20386"/>
    <w:rsid w:val="00C24084"/>
    <w:rsid w:val="00C240EA"/>
    <w:rsid w:val="00C24E08"/>
    <w:rsid w:val="00C25A1B"/>
    <w:rsid w:val="00C3071D"/>
    <w:rsid w:val="00C32608"/>
    <w:rsid w:val="00C3263C"/>
    <w:rsid w:val="00C34527"/>
    <w:rsid w:val="00C34EF5"/>
    <w:rsid w:val="00C353E2"/>
    <w:rsid w:val="00C370DD"/>
    <w:rsid w:val="00C417EA"/>
    <w:rsid w:val="00C43474"/>
    <w:rsid w:val="00C452A4"/>
    <w:rsid w:val="00C45AB0"/>
    <w:rsid w:val="00C4615A"/>
    <w:rsid w:val="00C47943"/>
    <w:rsid w:val="00C53DA6"/>
    <w:rsid w:val="00C556A8"/>
    <w:rsid w:val="00C5603B"/>
    <w:rsid w:val="00C6357F"/>
    <w:rsid w:val="00C63CAC"/>
    <w:rsid w:val="00C63F98"/>
    <w:rsid w:val="00C6457A"/>
    <w:rsid w:val="00C65F66"/>
    <w:rsid w:val="00C7120B"/>
    <w:rsid w:val="00C7355C"/>
    <w:rsid w:val="00C75439"/>
    <w:rsid w:val="00C76192"/>
    <w:rsid w:val="00C76CBA"/>
    <w:rsid w:val="00C83F05"/>
    <w:rsid w:val="00C84144"/>
    <w:rsid w:val="00C84726"/>
    <w:rsid w:val="00C85E43"/>
    <w:rsid w:val="00C8714F"/>
    <w:rsid w:val="00C877FA"/>
    <w:rsid w:val="00C91BC6"/>
    <w:rsid w:val="00C94DE6"/>
    <w:rsid w:val="00C97090"/>
    <w:rsid w:val="00CA061C"/>
    <w:rsid w:val="00CA42EE"/>
    <w:rsid w:val="00CA4819"/>
    <w:rsid w:val="00CA66D2"/>
    <w:rsid w:val="00CB1526"/>
    <w:rsid w:val="00CB15D9"/>
    <w:rsid w:val="00CB4195"/>
    <w:rsid w:val="00CB4AE0"/>
    <w:rsid w:val="00CC2D94"/>
    <w:rsid w:val="00CC3BA7"/>
    <w:rsid w:val="00CC657B"/>
    <w:rsid w:val="00CC6C27"/>
    <w:rsid w:val="00CC71EF"/>
    <w:rsid w:val="00CD1247"/>
    <w:rsid w:val="00CD39C3"/>
    <w:rsid w:val="00CD641B"/>
    <w:rsid w:val="00CD7D4C"/>
    <w:rsid w:val="00CE3911"/>
    <w:rsid w:val="00CE4310"/>
    <w:rsid w:val="00CE618C"/>
    <w:rsid w:val="00CE6464"/>
    <w:rsid w:val="00CE7CD2"/>
    <w:rsid w:val="00CF1134"/>
    <w:rsid w:val="00CF2652"/>
    <w:rsid w:val="00CF4569"/>
    <w:rsid w:val="00D00546"/>
    <w:rsid w:val="00D006FD"/>
    <w:rsid w:val="00D01B13"/>
    <w:rsid w:val="00D0457A"/>
    <w:rsid w:val="00D04C1F"/>
    <w:rsid w:val="00D056CC"/>
    <w:rsid w:val="00D07689"/>
    <w:rsid w:val="00D12C1A"/>
    <w:rsid w:val="00D157EE"/>
    <w:rsid w:val="00D244E8"/>
    <w:rsid w:val="00D25186"/>
    <w:rsid w:val="00D26FDE"/>
    <w:rsid w:val="00D32A78"/>
    <w:rsid w:val="00D32D33"/>
    <w:rsid w:val="00D35977"/>
    <w:rsid w:val="00D40471"/>
    <w:rsid w:val="00D41B12"/>
    <w:rsid w:val="00D43F5A"/>
    <w:rsid w:val="00D46122"/>
    <w:rsid w:val="00D46946"/>
    <w:rsid w:val="00D47978"/>
    <w:rsid w:val="00D51137"/>
    <w:rsid w:val="00D51397"/>
    <w:rsid w:val="00D63277"/>
    <w:rsid w:val="00D63378"/>
    <w:rsid w:val="00D634F2"/>
    <w:rsid w:val="00D64597"/>
    <w:rsid w:val="00D65554"/>
    <w:rsid w:val="00D6558E"/>
    <w:rsid w:val="00D67816"/>
    <w:rsid w:val="00D742F6"/>
    <w:rsid w:val="00D75133"/>
    <w:rsid w:val="00D76935"/>
    <w:rsid w:val="00D779E8"/>
    <w:rsid w:val="00D82669"/>
    <w:rsid w:val="00D830DE"/>
    <w:rsid w:val="00D85995"/>
    <w:rsid w:val="00D87A69"/>
    <w:rsid w:val="00D87F07"/>
    <w:rsid w:val="00D90E31"/>
    <w:rsid w:val="00D9142A"/>
    <w:rsid w:val="00D9558F"/>
    <w:rsid w:val="00D960EC"/>
    <w:rsid w:val="00D9735E"/>
    <w:rsid w:val="00D97782"/>
    <w:rsid w:val="00DA50C3"/>
    <w:rsid w:val="00DA5886"/>
    <w:rsid w:val="00DA7438"/>
    <w:rsid w:val="00DB0788"/>
    <w:rsid w:val="00DB7F6F"/>
    <w:rsid w:val="00DC55D0"/>
    <w:rsid w:val="00DC5BB0"/>
    <w:rsid w:val="00DD0BAD"/>
    <w:rsid w:val="00DD0DE2"/>
    <w:rsid w:val="00DD2CE2"/>
    <w:rsid w:val="00DD5E03"/>
    <w:rsid w:val="00DD60DE"/>
    <w:rsid w:val="00DD642A"/>
    <w:rsid w:val="00DD71A7"/>
    <w:rsid w:val="00DE1406"/>
    <w:rsid w:val="00DE14F6"/>
    <w:rsid w:val="00DE35BE"/>
    <w:rsid w:val="00DF2589"/>
    <w:rsid w:val="00DF360F"/>
    <w:rsid w:val="00DF36CA"/>
    <w:rsid w:val="00DF4FB8"/>
    <w:rsid w:val="00DF63E3"/>
    <w:rsid w:val="00DF7385"/>
    <w:rsid w:val="00E00473"/>
    <w:rsid w:val="00E02F0D"/>
    <w:rsid w:val="00E1061C"/>
    <w:rsid w:val="00E10692"/>
    <w:rsid w:val="00E14738"/>
    <w:rsid w:val="00E1479A"/>
    <w:rsid w:val="00E15A16"/>
    <w:rsid w:val="00E206A3"/>
    <w:rsid w:val="00E20C64"/>
    <w:rsid w:val="00E24DB8"/>
    <w:rsid w:val="00E26EB0"/>
    <w:rsid w:val="00E27034"/>
    <w:rsid w:val="00E32D4B"/>
    <w:rsid w:val="00E33105"/>
    <w:rsid w:val="00E33957"/>
    <w:rsid w:val="00E40749"/>
    <w:rsid w:val="00E41116"/>
    <w:rsid w:val="00E414EF"/>
    <w:rsid w:val="00E424DA"/>
    <w:rsid w:val="00E45390"/>
    <w:rsid w:val="00E455A5"/>
    <w:rsid w:val="00E555C5"/>
    <w:rsid w:val="00E56CCD"/>
    <w:rsid w:val="00E5722D"/>
    <w:rsid w:val="00E62643"/>
    <w:rsid w:val="00E62938"/>
    <w:rsid w:val="00E642D3"/>
    <w:rsid w:val="00E702F6"/>
    <w:rsid w:val="00E7387C"/>
    <w:rsid w:val="00E73C17"/>
    <w:rsid w:val="00E73E5F"/>
    <w:rsid w:val="00E768B8"/>
    <w:rsid w:val="00E778AE"/>
    <w:rsid w:val="00E77A0F"/>
    <w:rsid w:val="00E82D4E"/>
    <w:rsid w:val="00E835A1"/>
    <w:rsid w:val="00E83E2D"/>
    <w:rsid w:val="00E85164"/>
    <w:rsid w:val="00E8739B"/>
    <w:rsid w:val="00E90652"/>
    <w:rsid w:val="00E948B4"/>
    <w:rsid w:val="00E95C43"/>
    <w:rsid w:val="00E96570"/>
    <w:rsid w:val="00EA31DB"/>
    <w:rsid w:val="00EA68E9"/>
    <w:rsid w:val="00EA7D7F"/>
    <w:rsid w:val="00EB3C38"/>
    <w:rsid w:val="00EC12A0"/>
    <w:rsid w:val="00EC1E5F"/>
    <w:rsid w:val="00EC64A8"/>
    <w:rsid w:val="00EC78B7"/>
    <w:rsid w:val="00ED14BD"/>
    <w:rsid w:val="00ED24F1"/>
    <w:rsid w:val="00ED41E5"/>
    <w:rsid w:val="00ED49B5"/>
    <w:rsid w:val="00EE332B"/>
    <w:rsid w:val="00EE6C01"/>
    <w:rsid w:val="00EF1519"/>
    <w:rsid w:val="00EF2896"/>
    <w:rsid w:val="00EF2C61"/>
    <w:rsid w:val="00EF4610"/>
    <w:rsid w:val="00EF6CB2"/>
    <w:rsid w:val="00EF7939"/>
    <w:rsid w:val="00F01A5C"/>
    <w:rsid w:val="00F04DE2"/>
    <w:rsid w:val="00F076E3"/>
    <w:rsid w:val="00F11CFC"/>
    <w:rsid w:val="00F1463A"/>
    <w:rsid w:val="00F15936"/>
    <w:rsid w:val="00F20B68"/>
    <w:rsid w:val="00F23DBE"/>
    <w:rsid w:val="00F31085"/>
    <w:rsid w:val="00F31737"/>
    <w:rsid w:val="00F329A7"/>
    <w:rsid w:val="00F40513"/>
    <w:rsid w:val="00F41C5C"/>
    <w:rsid w:val="00F424A9"/>
    <w:rsid w:val="00F4459F"/>
    <w:rsid w:val="00F508C7"/>
    <w:rsid w:val="00F52F72"/>
    <w:rsid w:val="00F5729F"/>
    <w:rsid w:val="00F60524"/>
    <w:rsid w:val="00F65587"/>
    <w:rsid w:val="00F656A1"/>
    <w:rsid w:val="00F65B62"/>
    <w:rsid w:val="00F71AE6"/>
    <w:rsid w:val="00F71CEB"/>
    <w:rsid w:val="00F72DC7"/>
    <w:rsid w:val="00F74B26"/>
    <w:rsid w:val="00F772DD"/>
    <w:rsid w:val="00F776C3"/>
    <w:rsid w:val="00F77E06"/>
    <w:rsid w:val="00F80CA8"/>
    <w:rsid w:val="00F8101C"/>
    <w:rsid w:val="00F850F4"/>
    <w:rsid w:val="00F85AD8"/>
    <w:rsid w:val="00F9021F"/>
    <w:rsid w:val="00F93464"/>
    <w:rsid w:val="00F95594"/>
    <w:rsid w:val="00F973A7"/>
    <w:rsid w:val="00FA134F"/>
    <w:rsid w:val="00FA35E2"/>
    <w:rsid w:val="00FA5DE1"/>
    <w:rsid w:val="00FA6CB8"/>
    <w:rsid w:val="00FA7D60"/>
    <w:rsid w:val="00FB260A"/>
    <w:rsid w:val="00FB2B02"/>
    <w:rsid w:val="00FB4897"/>
    <w:rsid w:val="00FB6664"/>
    <w:rsid w:val="00FC2464"/>
    <w:rsid w:val="00FC3224"/>
    <w:rsid w:val="00FC60C3"/>
    <w:rsid w:val="00FC6311"/>
    <w:rsid w:val="00FC7647"/>
    <w:rsid w:val="00FC7CE6"/>
    <w:rsid w:val="00FD0795"/>
    <w:rsid w:val="00FD0A4E"/>
    <w:rsid w:val="00FD3A37"/>
    <w:rsid w:val="00FD577E"/>
    <w:rsid w:val="00FD6497"/>
    <w:rsid w:val="00FD73BD"/>
    <w:rsid w:val="00FE14B4"/>
    <w:rsid w:val="00FE1EBE"/>
    <w:rsid w:val="00FE46CE"/>
    <w:rsid w:val="00FE4E43"/>
    <w:rsid w:val="00FF1103"/>
    <w:rsid w:val="00FF2EC3"/>
    <w:rsid w:val="00FF462C"/>
    <w:rsid w:val="00FF66DC"/>
    <w:rsid w:val="00FF7CD6"/>
    <w:rsid w:val="012A4E2C"/>
    <w:rsid w:val="015F311B"/>
    <w:rsid w:val="02761F77"/>
    <w:rsid w:val="02DC2156"/>
    <w:rsid w:val="03CC3F79"/>
    <w:rsid w:val="03E40EB0"/>
    <w:rsid w:val="04F42139"/>
    <w:rsid w:val="05CD222A"/>
    <w:rsid w:val="06084616"/>
    <w:rsid w:val="06A9292B"/>
    <w:rsid w:val="0768022C"/>
    <w:rsid w:val="07C82CA9"/>
    <w:rsid w:val="080A2537"/>
    <w:rsid w:val="08EF7A39"/>
    <w:rsid w:val="0A4C6D5E"/>
    <w:rsid w:val="0A5844F0"/>
    <w:rsid w:val="0BEA5E1A"/>
    <w:rsid w:val="0DFF0ECB"/>
    <w:rsid w:val="0EE41D10"/>
    <w:rsid w:val="11386E78"/>
    <w:rsid w:val="11B73ED3"/>
    <w:rsid w:val="12195D58"/>
    <w:rsid w:val="12277661"/>
    <w:rsid w:val="12B75DF4"/>
    <w:rsid w:val="131E6243"/>
    <w:rsid w:val="133D4C82"/>
    <w:rsid w:val="138D4967"/>
    <w:rsid w:val="13D12EE6"/>
    <w:rsid w:val="13EE1CEA"/>
    <w:rsid w:val="13F37300"/>
    <w:rsid w:val="142843B1"/>
    <w:rsid w:val="16236B8C"/>
    <w:rsid w:val="174D6D27"/>
    <w:rsid w:val="17970504"/>
    <w:rsid w:val="17F91D7F"/>
    <w:rsid w:val="18CE5C46"/>
    <w:rsid w:val="1A2A2D28"/>
    <w:rsid w:val="1B9C64CF"/>
    <w:rsid w:val="1BE24176"/>
    <w:rsid w:val="1E6C7E3E"/>
    <w:rsid w:val="1F3423CC"/>
    <w:rsid w:val="20346CD6"/>
    <w:rsid w:val="205D534F"/>
    <w:rsid w:val="206E043A"/>
    <w:rsid w:val="21B75E11"/>
    <w:rsid w:val="2443573A"/>
    <w:rsid w:val="25340A95"/>
    <w:rsid w:val="25407ECB"/>
    <w:rsid w:val="25496D80"/>
    <w:rsid w:val="27095D8A"/>
    <w:rsid w:val="277B51EB"/>
    <w:rsid w:val="279E6744"/>
    <w:rsid w:val="27E834A1"/>
    <w:rsid w:val="29EF532D"/>
    <w:rsid w:val="2BAD2B02"/>
    <w:rsid w:val="2E0C3040"/>
    <w:rsid w:val="2E40384E"/>
    <w:rsid w:val="2F083808"/>
    <w:rsid w:val="2F0B058C"/>
    <w:rsid w:val="2F7C5FA4"/>
    <w:rsid w:val="3010312C"/>
    <w:rsid w:val="30A9101A"/>
    <w:rsid w:val="31DE6AA2"/>
    <w:rsid w:val="32447950"/>
    <w:rsid w:val="326D7CE5"/>
    <w:rsid w:val="33060D0F"/>
    <w:rsid w:val="344833B2"/>
    <w:rsid w:val="38B432D7"/>
    <w:rsid w:val="3A3E6C77"/>
    <w:rsid w:val="3D474FC0"/>
    <w:rsid w:val="3D6C58AA"/>
    <w:rsid w:val="3DA05950"/>
    <w:rsid w:val="3E799816"/>
    <w:rsid w:val="403F2E01"/>
    <w:rsid w:val="414F7728"/>
    <w:rsid w:val="431A1904"/>
    <w:rsid w:val="43FF1225"/>
    <w:rsid w:val="45413951"/>
    <w:rsid w:val="45856E65"/>
    <w:rsid w:val="46242F77"/>
    <w:rsid w:val="46447925"/>
    <w:rsid w:val="46943092"/>
    <w:rsid w:val="46E47FFF"/>
    <w:rsid w:val="4779601E"/>
    <w:rsid w:val="493E1AE1"/>
    <w:rsid w:val="4B2238EC"/>
    <w:rsid w:val="4C6C7CEB"/>
    <w:rsid w:val="4DDD59C1"/>
    <w:rsid w:val="4EAE0286"/>
    <w:rsid w:val="507A36E4"/>
    <w:rsid w:val="51FB0B52"/>
    <w:rsid w:val="52C64155"/>
    <w:rsid w:val="53075102"/>
    <w:rsid w:val="531F075A"/>
    <w:rsid w:val="55D63DB0"/>
    <w:rsid w:val="56DA342C"/>
    <w:rsid w:val="57A01936"/>
    <w:rsid w:val="57A57FD6"/>
    <w:rsid w:val="57F01F2D"/>
    <w:rsid w:val="58D367F3"/>
    <w:rsid w:val="592C1295"/>
    <w:rsid w:val="59897E96"/>
    <w:rsid w:val="59DD74BB"/>
    <w:rsid w:val="5A8C449C"/>
    <w:rsid w:val="5B571FFB"/>
    <w:rsid w:val="5BFB00CD"/>
    <w:rsid w:val="5C452F47"/>
    <w:rsid w:val="5D086F45"/>
    <w:rsid w:val="5D4D6706"/>
    <w:rsid w:val="5EC9251D"/>
    <w:rsid w:val="5F6B7317"/>
    <w:rsid w:val="5F9B30FA"/>
    <w:rsid w:val="60252B89"/>
    <w:rsid w:val="616C2448"/>
    <w:rsid w:val="63DF2082"/>
    <w:rsid w:val="654A16B4"/>
    <w:rsid w:val="660F1D12"/>
    <w:rsid w:val="67277FC8"/>
    <w:rsid w:val="677C2407"/>
    <w:rsid w:val="679851FA"/>
    <w:rsid w:val="68C47A98"/>
    <w:rsid w:val="68C53F3C"/>
    <w:rsid w:val="68CF24B6"/>
    <w:rsid w:val="6B2807A0"/>
    <w:rsid w:val="6B8534D5"/>
    <w:rsid w:val="6C1B2F55"/>
    <w:rsid w:val="6C3B0DFC"/>
    <w:rsid w:val="6CC80E6D"/>
    <w:rsid w:val="6FDD1529"/>
    <w:rsid w:val="710B6BAC"/>
    <w:rsid w:val="71CC633B"/>
    <w:rsid w:val="71F238C8"/>
    <w:rsid w:val="738A5B9F"/>
    <w:rsid w:val="74005430"/>
    <w:rsid w:val="741F6AAA"/>
    <w:rsid w:val="74A0585D"/>
    <w:rsid w:val="77A7157C"/>
    <w:rsid w:val="78B143BF"/>
    <w:rsid w:val="7A035425"/>
    <w:rsid w:val="7AB465B7"/>
    <w:rsid w:val="7AFEC822"/>
    <w:rsid w:val="7B215011"/>
    <w:rsid w:val="7CB63E70"/>
    <w:rsid w:val="7D221505"/>
    <w:rsid w:val="7D8F5D46"/>
    <w:rsid w:val="7E2B6198"/>
    <w:rsid w:val="D9BF3AD6"/>
    <w:rsid w:val="E7FFD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paragraph" w:styleId="5">
    <w:name w:val="heading 7"/>
    <w:basedOn w:val="1"/>
    <w:next w:val="1"/>
    <w:link w:val="28"/>
    <w:qFormat/>
    <w:uiPriority w:val="9"/>
    <w:pPr>
      <w:keepNext/>
      <w:keepLines/>
      <w:spacing w:before="240" w:after="64" w:line="320" w:lineRule="auto"/>
      <w:outlineLvl w:val="6"/>
    </w:pPr>
    <w:rPr>
      <w:b/>
      <w:bCs/>
      <w:sz w:val="24"/>
    </w:rPr>
  </w:style>
  <w:style w:type="character" w:default="1" w:styleId="19">
    <w:name w:val="Default Paragraph Font"/>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9"/>
    <w:unhideWhenUsed/>
    <w:qFormat/>
    <w:uiPriority w:val="99"/>
    <w:pPr>
      <w:adjustRightInd w:val="0"/>
      <w:spacing w:line="400" w:lineRule="exact"/>
      <w:jc w:val="left"/>
    </w:pPr>
    <w:rPr>
      <w:szCs w:val="21"/>
    </w:rPr>
  </w:style>
  <w:style w:type="paragraph" w:styleId="7">
    <w:name w:val="Date"/>
    <w:basedOn w:val="1"/>
    <w:next w:val="1"/>
    <w:link w:val="66"/>
    <w:semiHidden/>
    <w:unhideWhenUsed/>
    <w:qFormat/>
    <w:uiPriority w:val="99"/>
    <w:pPr>
      <w:ind w:left="100" w:leftChars="2500"/>
    </w:pPr>
  </w:style>
  <w:style w:type="paragraph" w:styleId="8">
    <w:name w:val="endnote text"/>
    <w:basedOn w:val="1"/>
    <w:link w:val="64"/>
    <w:semiHidden/>
    <w:unhideWhenUsed/>
    <w:qFormat/>
    <w:uiPriority w:val="99"/>
    <w:pPr>
      <w:snapToGrid w:val="0"/>
      <w:jc w:val="left"/>
    </w:pPr>
  </w:style>
  <w:style w:type="paragraph" w:styleId="9">
    <w:name w:val="Balloon Text"/>
    <w:basedOn w:val="1"/>
    <w:link w:val="30"/>
    <w:unhideWhenUsed/>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envelope return"/>
    <w:basedOn w:val="1"/>
    <w:qFormat/>
    <w:uiPriority w:val="0"/>
    <w:pPr>
      <w:snapToGrid w:val="0"/>
    </w:pPr>
    <w:rPr>
      <w:rFonts w:ascii="Times New Roman" w:hAnsi="Times New Roman"/>
    </w:rPr>
  </w:style>
  <w:style w:type="paragraph" w:styleId="12">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13">
    <w:name w:val="toc 4"/>
    <w:basedOn w:val="1"/>
    <w:next w:val="1"/>
    <w:unhideWhenUsed/>
    <w:qFormat/>
    <w:uiPriority w:val="39"/>
    <w:pPr>
      <w:tabs>
        <w:tab w:val="right" w:leader="dot" w:pos="9344"/>
      </w:tabs>
      <w:adjustRightInd w:val="0"/>
      <w:spacing w:line="300" w:lineRule="exact"/>
      <w:ind w:left="629"/>
    </w:pPr>
    <w:rPr>
      <w:rFonts w:ascii="宋体"/>
      <w:szCs w:val="21"/>
    </w:rPr>
  </w:style>
  <w:style w:type="paragraph" w:styleId="14">
    <w:name w:val="Normal (Web)"/>
    <w:basedOn w:val="1"/>
    <w:semiHidden/>
    <w:unhideWhenUsed/>
    <w:qFormat/>
    <w:uiPriority w:val="99"/>
    <w:rPr>
      <w:sz w:val="24"/>
    </w:rPr>
  </w:style>
  <w:style w:type="paragraph" w:styleId="15">
    <w:name w:val="Title"/>
    <w:basedOn w:val="1"/>
    <w:next w:val="1"/>
    <w:link w:val="67"/>
    <w:qFormat/>
    <w:uiPriority w:val="10"/>
    <w:pPr>
      <w:spacing w:before="240" w:after="60"/>
      <w:jc w:val="center"/>
      <w:outlineLvl w:val="0"/>
    </w:pPr>
    <w:rPr>
      <w:rFonts w:asciiTheme="majorHAnsi" w:hAnsiTheme="majorHAnsi" w:eastAsiaTheme="majorEastAsia" w:cstheme="majorBidi"/>
      <w:b/>
      <w:bCs/>
      <w:sz w:val="32"/>
      <w:szCs w:val="32"/>
    </w:rPr>
  </w:style>
  <w:style w:type="paragraph" w:styleId="16">
    <w:name w:val="annotation subject"/>
    <w:basedOn w:val="6"/>
    <w:next w:val="6"/>
    <w:link w:val="63"/>
    <w:semiHidden/>
    <w:unhideWhenUsed/>
    <w:qFormat/>
    <w:uiPriority w:val="99"/>
    <w:pPr>
      <w:adjustRightInd/>
      <w:spacing w:line="240" w:lineRule="auto"/>
    </w:pPr>
    <w:rPr>
      <w:b/>
      <w:bCs/>
      <w:szCs w:val="24"/>
    </w:rPr>
  </w:style>
  <w:style w:type="table" w:styleId="18">
    <w:name w:val="Table Grid"/>
    <w:basedOn w:val="17"/>
    <w:qFormat/>
    <w:uiPriority w:val="39"/>
    <w:pPr>
      <w:widowControl w:val="0"/>
      <w:jc w:val="both"/>
    </w:pPr>
    <w:tblPr>
      <w:tblBorders>
        <w:top w:val="single" w:color="auto" w:sz="4" w:space="0"/>
        <w:bottom w:val="single" w:color="auto" w:sz="4" w:space="0"/>
      </w:tblBorders>
    </w:tblPr>
  </w:style>
  <w:style w:type="character" w:styleId="20">
    <w:name w:val="Strong"/>
    <w:basedOn w:val="19"/>
    <w:qFormat/>
    <w:uiPriority w:val="22"/>
    <w:rPr>
      <w:b/>
    </w:rPr>
  </w:style>
  <w:style w:type="character" w:styleId="21">
    <w:name w:val="endnote reference"/>
    <w:basedOn w:val="19"/>
    <w:semiHidden/>
    <w:unhideWhenUsed/>
    <w:qFormat/>
    <w:uiPriority w:val="99"/>
    <w:rPr>
      <w:vertAlign w:val="superscript"/>
    </w:rPr>
  </w:style>
  <w:style w:type="character" w:styleId="22">
    <w:name w:val="line number"/>
    <w:qFormat/>
    <w:uiPriority w:val="0"/>
  </w:style>
  <w:style w:type="character" w:styleId="23">
    <w:name w:val="Hyperlink"/>
    <w:qFormat/>
    <w:uiPriority w:val="0"/>
    <w:rPr>
      <w:rFonts w:ascii="宋体" w:eastAsia="宋体"/>
      <w:color w:val="auto"/>
      <w:spacing w:val="0"/>
      <w:w w:val="100"/>
      <w:position w:val="0"/>
      <w:sz w:val="21"/>
      <w:u w:val="none"/>
      <w:vertAlign w:val="baseline"/>
    </w:rPr>
  </w:style>
  <w:style w:type="character" w:styleId="24">
    <w:name w:val="annotation reference"/>
    <w:qFormat/>
    <w:uiPriority w:val="99"/>
    <w:rPr>
      <w:sz w:val="21"/>
    </w:rPr>
  </w:style>
  <w:style w:type="character" w:styleId="25">
    <w:name w:val="footnote reference"/>
    <w:qFormat/>
    <w:uiPriority w:val="0"/>
    <w:rPr>
      <w:vertAlign w:val="superscript"/>
    </w:rPr>
  </w:style>
  <w:style w:type="paragraph" w:customStyle="1" w:styleId="26">
    <w:name w:val="BodyText2"/>
    <w:basedOn w:val="1"/>
    <w:qFormat/>
    <w:uiPriority w:val="0"/>
    <w:pPr>
      <w:spacing w:after="120" w:line="480" w:lineRule="auto"/>
      <w:textAlignment w:val="baseline"/>
    </w:pPr>
    <w:rPr>
      <w:rFonts w:cs="Times New Roman"/>
      <w:sz w:val="32"/>
      <w:szCs w:val="32"/>
    </w:rPr>
  </w:style>
  <w:style w:type="paragraph" w:customStyle="1" w:styleId="27">
    <w:name w:val="正文-公1"/>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8">
    <w:name w:val="标题 7 字符"/>
    <w:link w:val="5"/>
    <w:qFormat/>
    <w:uiPriority w:val="0"/>
    <w:rPr>
      <w:rFonts w:eastAsia="宋体"/>
      <w:b/>
      <w:bCs/>
      <w:kern w:val="2"/>
      <w:sz w:val="24"/>
      <w:szCs w:val="24"/>
    </w:rPr>
  </w:style>
  <w:style w:type="character" w:customStyle="1" w:styleId="29">
    <w:name w:val="批注文字 字符"/>
    <w:link w:val="6"/>
    <w:semiHidden/>
    <w:qFormat/>
    <w:uiPriority w:val="99"/>
    <w:rPr>
      <w:rFonts w:ascii="Calibri" w:hAnsi="Calibri" w:eastAsia="宋体"/>
      <w:kern w:val="2"/>
      <w:sz w:val="21"/>
      <w:szCs w:val="21"/>
    </w:rPr>
  </w:style>
  <w:style w:type="character" w:customStyle="1" w:styleId="30">
    <w:name w:val="批注框文本 字符"/>
    <w:link w:val="9"/>
    <w:semiHidden/>
    <w:qFormat/>
    <w:uiPriority w:val="99"/>
    <w:rPr>
      <w:rFonts w:eastAsia="宋体"/>
      <w:kern w:val="2"/>
      <w:sz w:val="18"/>
      <w:szCs w:val="18"/>
    </w:rPr>
  </w:style>
  <w:style w:type="character" w:customStyle="1" w:styleId="31">
    <w:name w:val="页脚 字符"/>
    <w:link w:val="10"/>
    <w:qFormat/>
    <w:locked/>
    <w:uiPriority w:val="99"/>
    <w:rPr>
      <w:rFonts w:eastAsia="宋体"/>
      <w:kern w:val="2"/>
      <w:sz w:val="18"/>
      <w:szCs w:val="18"/>
    </w:rPr>
  </w:style>
  <w:style w:type="paragraph" w:customStyle="1" w:styleId="32">
    <w:name w:val="其他标准称谓"/>
    <w:qFormat/>
    <w:uiPriority w:val="0"/>
    <w:pPr>
      <w:spacing w:line="0" w:lineRule="atLeast"/>
      <w:jc w:val="distribute"/>
    </w:pPr>
    <w:rPr>
      <w:rFonts w:ascii="黑体" w:hAnsi="Calibri" w:eastAsia="黑体" w:cs="Calibri"/>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4">
    <w:name w:val="标准文件_段"/>
    <w:link w:val="35"/>
    <w:qFormat/>
    <w:uiPriority w:val="0"/>
    <w:pPr>
      <w:autoSpaceDE w:val="0"/>
      <w:autoSpaceDN w:val="0"/>
      <w:spacing w:line="520" w:lineRule="exact"/>
      <w:ind w:firstLine="640" w:firstLineChars="200"/>
      <w:jc w:val="both"/>
    </w:pPr>
    <w:rPr>
      <w:rFonts w:ascii="仿宋" w:hAnsi="仿宋" w:eastAsia="仿宋" w:cs="Calibri"/>
      <w:kern w:val="2"/>
      <w:sz w:val="32"/>
      <w:szCs w:val="32"/>
      <w:lang w:val="en-US" w:eastAsia="zh-CN" w:bidi="ar-SA"/>
    </w:rPr>
  </w:style>
  <w:style w:type="character" w:customStyle="1" w:styleId="35">
    <w:name w:val="标准文件_段 Char"/>
    <w:link w:val="34"/>
    <w:qFormat/>
    <w:uiPriority w:val="0"/>
    <w:rPr>
      <w:rFonts w:ascii="仿宋" w:hAnsi="仿宋" w:eastAsia="仿宋" w:cs="Calibri"/>
      <w:kern w:val="2"/>
      <w:sz w:val="32"/>
      <w:szCs w:val="32"/>
    </w:rPr>
  </w:style>
  <w:style w:type="paragraph" w:customStyle="1" w:styleId="36">
    <w:name w:val="标准文件_章标题"/>
    <w:next w:val="34"/>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37">
    <w:name w:val="标准文件_二级条标题"/>
    <w:next w:val="34"/>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8">
    <w:name w:val="标准文件_一级条标题"/>
    <w:basedOn w:val="36"/>
    <w:next w:val="34"/>
    <w:qFormat/>
    <w:uiPriority w:val="0"/>
    <w:pPr>
      <w:numPr>
        <w:ilvl w:val="2"/>
      </w:numPr>
      <w:spacing w:before="50" w:beforeLines="0" w:after="50" w:afterLines="0"/>
      <w:outlineLvl w:val="1"/>
    </w:pPr>
  </w:style>
  <w:style w:type="paragraph" w:customStyle="1" w:styleId="39">
    <w:name w:val="标准文件_三级条标题"/>
    <w:basedOn w:val="37"/>
    <w:next w:val="34"/>
    <w:qFormat/>
    <w:uiPriority w:val="0"/>
    <w:pPr>
      <w:outlineLvl w:val="3"/>
    </w:pPr>
  </w:style>
  <w:style w:type="paragraph" w:customStyle="1" w:styleId="40">
    <w:name w:val="标准文件_四级条标题"/>
    <w:next w:val="34"/>
    <w:qFormat/>
    <w:uiPriority w:val="0"/>
    <w:pPr>
      <w:widowControl w:val="0"/>
      <w:spacing w:before="50" w:beforeLines="50" w:after="50" w:afterLines="50"/>
      <w:jc w:val="both"/>
      <w:outlineLvl w:val="4"/>
    </w:pPr>
    <w:rPr>
      <w:rFonts w:ascii="黑体" w:hAnsi="Calibri" w:eastAsia="黑体" w:cs="Calibri"/>
      <w:sz w:val="21"/>
      <w:lang w:val="en-US" w:eastAsia="zh-CN" w:bidi="ar-SA"/>
    </w:rPr>
  </w:style>
  <w:style w:type="paragraph" w:customStyle="1" w:styleId="41">
    <w:name w:val="标准文件_五级条标题"/>
    <w:next w:val="37"/>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42">
    <w:name w:val="前言标题"/>
    <w:next w:val="1"/>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3">
    <w:name w:val="标准文件_四级无标题"/>
    <w:basedOn w:val="40"/>
    <w:qFormat/>
    <w:uiPriority w:val="0"/>
    <w:pPr>
      <w:numPr>
        <w:ilvl w:val="5"/>
        <w:numId w:val="1"/>
      </w:numPr>
    </w:pPr>
    <w:rPr>
      <w:rFonts w:ascii="宋体" w:eastAsia="宋体"/>
      <w:szCs w:val="52"/>
    </w:rPr>
  </w:style>
  <w:style w:type="paragraph" w:customStyle="1" w:styleId="44">
    <w:name w:val="标准文件_三级无标题"/>
    <w:basedOn w:val="39"/>
    <w:qFormat/>
    <w:uiPriority w:val="0"/>
    <w:pPr>
      <w:numPr>
        <w:ilvl w:val="4"/>
        <w:numId w:val="1"/>
      </w:numPr>
    </w:pPr>
    <w:rPr>
      <w:rFonts w:ascii="宋体" w:eastAsia="宋体"/>
    </w:rPr>
  </w:style>
  <w:style w:type="paragraph" w:customStyle="1" w:styleId="45">
    <w:name w:val="标准文件_正文表标题"/>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6">
    <w:name w:val="font11"/>
    <w:qFormat/>
    <w:uiPriority w:val="0"/>
    <w:rPr>
      <w:rFonts w:ascii="等线" w:eastAsia="等线"/>
      <w:b/>
      <w:bCs/>
      <w:color w:val="FF0000"/>
      <w:sz w:val="22"/>
      <w:szCs w:val="22"/>
      <w:u w:val="none"/>
    </w:rPr>
  </w:style>
  <w:style w:type="character" w:customStyle="1" w:styleId="47">
    <w:name w:val="font01"/>
    <w:qFormat/>
    <w:uiPriority w:val="0"/>
    <w:rPr>
      <w:rFonts w:ascii="等线" w:eastAsia="等线"/>
      <w:color w:val="000000"/>
      <w:sz w:val="22"/>
      <w:szCs w:val="22"/>
      <w:u w:val="none"/>
    </w:rPr>
  </w:style>
  <w:style w:type="paragraph" w:customStyle="1" w:styleId="48">
    <w:name w:val="段"/>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9">
    <w:name w:val="二级无"/>
    <w:basedOn w:val="1"/>
    <w:qFormat/>
    <w:uiPriority w:val="0"/>
    <w:pPr>
      <w:widowControl/>
      <w:tabs>
        <w:tab w:val="left" w:pos="780"/>
      </w:tabs>
      <w:ind w:left="780" w:hanging="360"/>
      <w:jc w:val="left"/>
      <w:outlineLvl w:val="3"/>
    </w:pPr>
    <w:rPr>
      <w:rFonts w:ascii="宋体"/>
      <w:kern w:val="0"/>
      <w:szCs w:val="21"/>
    </w:rPr>
  </w:style>
  <w:style w:type="paragraph" w:customStyle="1" w:styleId="50">
    <w:name w:val="标准文件_二级无标题"/>
    <w:basedOn w:val="37"/>
    <w:qFormat/>
    <w:uiPriority w:val="0"/>
    <w:pPr>
      <w:tabs>
        <w:tab w:val="left" w:pos="1200"/>
      </w:tabs>
      <w:spacing w:before="0" w:beforeLines="0" w:after="0" w:afterLines="0"/>
      <w:ind w:left="1200" w:hanging="360"/>
      <w:outlineLvl w:val="9"/>
    </w:pPr>
    <w:rPr>
      <w:rFonts w:ascii="宋体" w:eastAsia="宋体"/>
    </w:rPr>
  </w:style>
  <w:style w:type="paragraph" w:customStyle="1" w:styleId="51">
    <w:name w:val="Char Char Char Char"/>
    <w:basedOn w:val="1"/>
    <w:qFormat/>
    <w:uiPriority w:val="0"/>
  </w:style>
  <w:style w:type="paragraph" w:customStyle="1" w:styleId="52">
    <w:name w:val="标准文件_数字编号列项（二级）"/>
    <w:qFormat/>
    <w:uiPriority w:val="0"/>
    <w:pPr>
      <w:numPr>
        <w:ilvl w:val="1"/>
        <w:numId w:val="3"/>
      </w:numPr>
      <w:jc w:val="both"/>
    </w:pPr>
    <w:rPr>
      <w:rFonts w:ascii="宋体" w:hAnsi="Calibri" w:eastAsia="宋体" w:cs="Calibri"/>
      <w:sz w:val="21"/>
      <w:lang w:val="en-US" w:eastAsia="zh-CN" w:bidi="ar-SA"/>
    </w:rPr>
  </w:style>
  <w:style w:type="paragraph" w:customStyle="1" w:styleId="53">
    <w:name w:val="标准文件_编号列项（三级）"/>
    <w:qFormat/>
    <w:uiPriority w:val="0"/>
    <w:pPr>
      <w:numPr>
        <w:ilvl w:val="2"/>
        <w:numId w:val="3"/>
      </w:numPr>
    </w:pPr>
    <w:rPr>
      <w:rFonts w:ascii="宋体" w:hAnsi="Calibri" w:eastAsia="宋体" w:cs="Calibri"/>
      <w:sz w:val="21"/>
      <w:lang w:val="en-US" w:eastAsia="zh-CN" w:bidi="ar-SA"/>
    </w:rPr>
  </w:style>
  <w:style w:type="paragraph" w:customStyle="1" w:styleId="54">
    <w:name w:val="标准文件_字母编号列项（一级）"/>
    <w:qFormat/>
    <w:uiPriority w:val="0"/>
    <w:pPr>
      <w:numPr>
        <w:ilvl w:val="0"/>
        <w:numId w:val="3"/>
      </w:numPr>
      <w:jc w:val="both"/>
    </w:pPr>
    <w:rPr>
      <w:rFonts w:ascii="宋体" w:hAnsi="Calibri" w:eastAsia="宋体" w:cs="Calibri"/>
      <w:sz w:val="21"/>
      <w:lang w:val="en-US" w:eastAsia="zh-CN" w:bidi="ar-SA"/>
    </w:rPr>
  </w:style>
  <w:style w:type="paragraph" w:customStyle="1" w:styleId="55">
    <w:name w:val="标准文件_术语条一"/>
    <w:basedOn w:val="1"/>
    <w:next w:val="34"/>
    <w:qFormat/>
    <w:uiPriority w:val="0"/>
    <w:pPr>
      <w:widowControl/>
    </w:pPr>
    <w:rPr>
      <w:rFonts w:ascii="宋体"/>
      <w:kern w:val="0"/>
      <w:szCs w:val="20"/>
    </w:rPr>
  </w:style>
  <w:style w:type="paragraph" w:customStyle="1" w:styleId="56">
    <w:name w:val="abstract"/>
    <w:basedOn w:val="1"/>
    <w:qFormat/>
    <w:uiPriority w:val="0"/>
    <w:pPr>
      <w:widowControl/>
      <w:spacing w:before="100" w:beforeAutospacing="1" w:after="100" w:afterAutospacing="1"/>
      <w:jc w:val="left"/>
    </w:pPr>
    <w:rPr>
      <w:rFonts w:ascii="宋体" w:hAnsi="宋体" w:cs="宋体"/>
      <w:kern w:val="0"/>
      <w:sz w:val="24"/>
    </w:rPr>
  </w:style>
  <w:style w:type="paragraph" w:customStyle="1" w:styleId="57">
    <w:name w:val="abstract_more"/>
    <w:basedOn w:val="1"/>
    <w:qFormat/>
    <w:uiPriority w:val="0"/>
    <w:pPr>
      <w:widowControl/>
      <w:spacing w:before="100" w:beforeAutospacing="1" w:after="100" w:afterAutospacing="1"/>
      <w:jc w:val="left"/>
    </w:pPr>
    <w:rPr>
      <w:rFonts w:ascii="宋体" w:hAnsi="宋体" w:cs="宋体"/>
      <w:kern w:val="0"/>
      <w:sz w:val="24"/>
    </w:rPr>
  </w:style>
  <w:style w:type="paragraph" w:styleId="58">
    <w:name w:val="No Spacing"/>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9">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60">
    <w:name w:val="附录表标题"/>
    <w:basedOn w:val="1"/>
    <w:next w:val="48"/>
    <w:qFormat/>
    <w:uiPriority w:val="0"/>
    <w:pPr>
      <w:numPr>
        <w:ilvl w:val="1"/>
        <w:numId w:val="5"/>
      </w:numPr>
      <w:tabs>
        <w:tab w:val="left" w:pos="180"/>
      </w:tabs>
      <w:spacing w:beforeLines="50" w:afterLines="50"/>
      <w:ind w:left="0" w:firstLine="0"/>
      <w:jc w:val="center"/>
    </w:pPr>
    <w:rPr>
      <w:rFonts w:ascii="黑体" w:hAnsi="Times New Roman" w:eastAsia="黑体" w:cs="Times New Roman"/>
      <w:szCs w:val="21"/>
    </w:rPr>
  </w:style>
  <w:style w:type="paragraph" w:styleId="61">
    <w:name w:val="List Paragraph"/>
    <w:basedOn w:val="1"/>
    <w:unhideWhenUsed/>
    <w:qFormat/>
    <w:uiPriority w:val="99"/>
    <w:pPr>
      <w:ind w:firstLine="420" w:firstLineChars="200"/>
    </w:pPr>
    <w:rPr>
      <w:rFonts w:ascii="Times New Roman" w:hAnsi="Times New Roman" w:cs="Times New Roman"/>
    </w:rPr>
  </w:style>
  <w:style w:type="character" w:customStyle="1" w:styleId="62">
    <w:name w:val="页眉 字符"/>
    <w:basedOn w:val="19"/>
    <w:link w:val="12"/>
    <w:qFormat/>
    <w:uiPriority w:val="0"/>
    <w:rPr>
      <w:rFonts w:ascii="Calibri" w:hAnsi="Calibri" w:cs="Calibri"/>
      <w:kern w:val="2"/>
      <w:sz w:val="18"/>
      <w:szCs w:val="18"/>
    </w:rPr>
  </w:style>
  <w:style w:type="character" w:customStyle="1" w:styleId="63">
    <w:name w:val="批注主题 字符"/>
    <w:basedOn w:val="29"/>
    <w:link w:val="16"/>
    <w:semiHidden/>
    <w:qFormat/>
    <w:uiPriority w:val="99"/>
    <w:rPr>
      <w:rFonts w:ascii="Calibri" w:hAnsi="Calibri" w:eastAsia="宋体" w:cs="Calibri"/>
      <w:b/>
      <w:bCs/>
      <w:kern w:val="2"/>
      <w:sz w:val="21"/>
      <w:szCs w:val="24"/>
    </w:rPr>
  </w:style>
  <w:style w:type="character" w:customStyle="1" w:styleId="64">
    <w:name w:val="尾注文本 字符"/>
    <w:basedOn w:val="19"/>
    <w:link w:val="8"/>
    <w:semiHidden/>
    <w:qFormat/>
    <w:uiPriority w:val="99"/>
    <w:rPr>
      <w:rFonts w:ascii="Calibri" w:hAnsi="Calibri" w:cs="Calibri"/>
      <w:kern w:val="2"/>
      <w:sz w:val="21"/>
      <w:szCs w:val="24"/>
    </w:rPr>
  </w:style>
  <w:style w:type="paragraph" w:customStyle="1" w:styleId="65">
    <w:name w:val="标准文件_方框数字列项"/>
    <w:basedOn w:val="34"/>
    <w:qFormat/>
    <w:uiPriority w:val="0"/>
    <w:pPr>
      <w:numPr>
        <w:ilvl w:val="0"/>
        <w:numId w:val="6"/>
      </w:numPr>
      <w:spacing w:line="240" w:lineRule="auto"/>
      <w:ind w:firstLine="0" w:firstLineChars="0"/>
    </w:pPr>
    <w:rPr>
      <w:rFonts w:ascii="宋体" w:hAnsi="Times New Roman" w:eastAsia="宋体" w:cs="Times New Roman"/>
      <w:kern w:val="0"/>
      <w:sz w:val="21"/>
      <w:szCs w:val="20"/>
    </w:rPr>
  </w:style>
  <w:style w:type="character" w:customStyle="1" w:styleId="66">
    <w:name w:val="日期 字符"/>
    <w:basedOn w:val="19"/>
    <w:link w:val="7"/>
    <w:semiHidden/>
    <w:qFormat/>
    <w:uiPriority w:val="99"/>
    <w:rPr>
      <w:rFonts w:ascii="Calibri" w:hAnsi="Calibri" w:cs="Calibri"/>
      <w:kern w:val="2"/>
      <w:sz w:val="21"/>
      <w:szCs w:val="24"/>
    </w:rPr>
  </w:style>
  <w:style w:type="character" w:customStyle="1" w:styleId="67">
    <w:name w:val="标题 字符"/>
    <w:basedOn w:val="19"/>
    <w:link w:val="15"/>
    <w:qFormat/>
    <w:uiPriority w:val="10"/>
    <w:rPr>
      <w:rFonts w:asciiTheme="majorHAnsi" w:hAnsiTheme="majorHAnsi" w:eastAsiaTheme="majorEastAsia" w:cstheme="majorBidi"/>
      <w:b/>
      <w:bCs/>
      <w:kern w:val="2"/>
      <w:sz w:val="32"/>
      <w:szCs w:val="32"/>
    </w:rPr>
  </w:style>
  <w:style w:type="table" w:customStyle="1" w:styleId="68">
    <w:name w:val="网格型1"/>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72A2F6-D823-40B3-8291-5366788C423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28</Pages>
  <Words>9464</Words>
  <Characters>10212</Characters>
  <Lines>89</Lines>
  <Paragraphs>25</Paragraphs>
  <TotalTime>0</TotalTime>
  <ScaleCrop>false</ScaleCrop>
  <LinksUpToDate>false</LinksUpToDate>
  <CharactersWithSpaces>10337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2024-09-29T09:06:00Z</dcterms:created>
  <dc:creator>Administrator</dc:creator>
  <cp:lastModifiedBy>清风揽月</cp:lastModifiedBy>
  <cp:lastPrinted>2025-05-09T02:21:00Z</cp:lastPrinted>
  <dcterms:modified xsi:type="dcterms:W3CDTF">2025-12-28T07:31:58Z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A922D90BF3B641DA8C66AE267C36FA1E_13</vt:lpwstr>
  </property>
  <property fmtid="{D5CDD505-2E9C-101B-9397-08002B2CF9AE}" pid="4" name="KSOTemplateDocerSaveRecord">
    <vt:lpwstr>eyJoZGlkIjoiZDllMzdjNjgwNDU3NjBmZDQ4Y2EzNzcwNGVkZjc2ZWYiLCJ1c2VySWQiOiI1NjkwODQ0OTAifQ==</vt:lpwstr>
  </property>
</Properties>
</file>